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64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四川自贡市高级技工学校年度质量报告</w:t>
      </w:r>
      <w:r>
        <w:rPr>
          <w:rFonts w:ascii="Times New Roman" w:hAnsi="Times New Roman" w:eastAsia="方正小标宋简体"/>
          <w:sz w:val="44"/>
          <w:szCs w:val="44"/>
        </w:rPr>
        <w:t>(2020-2021)</w:t>
      </w:r>
    </w:p>
    <w:p>
      <w:pPr>
        <w:pStyle w:val="2"/>
        <w:spacing w:line="580" w:lineRule="exact"/>
        <w:ind w:firstLine="640" w:firstLineChars="200"/>
        <w:rPr>
          <w:rFonts w:hint="eastAsia" w:ascii="Times New Roman" w:hAnsi="Times New Roman" w:eastAsia="黑体" w:cs="Times New Roman"/>
          <w:color w:val="FF0000"/>
          <w:sz w:val="32"/>
          <w:szCs w:val="32"/>
          <w:lang w:eastAsia="zh-CN"/>
        </w:rPr>
      </w:pPr>
      <w:r>
        <w:rPr>
          <w:rFonts w:ascii="Times New Roman" w:hAnsi="Times New Roman" w:eastAsia="黑体" w:cs="Times New Roman"/>
          <w:sz w:val="32"/>
          <w:szCs w:val="32"/>
        </w:rPr>
        <w:t>一、学校情况</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（一）办学概况</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1.基本信息</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四川自贡市高级技工学校（自贡市职业培训学院、自贡市农民工培训学院）是隶属自贡市人民政府的事业单位（归口自贡市人力资源和社会保障局管理），主要承担全日制普通中等专业学校学历教育、劳动者技能培训等职责。学校占地面积270亩，建筑面积6.68万平方米，学校现有资产1.84亿元，校内外实训设施设备总值5064.53万元。学校现有三个校区，主校区位于自流井区郭家坳顺龙坝165号，在使用中；位于自流井区东街毛家坝居委会的原自贡市二轻技工学校校区处于闲置状态；位于大安区凤凰乡大山村的原四川省盐业技工学校校区租赁给企业用于开办养老公寓。</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表1 学校办学性质、占地面积与建筑面积一览表（单位：平方米）</w:t>
      </w:r>
    </w:p>
    <w:tbl>
      <w:tblPr>
        <w:tblStyle w:val="9"/>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9"/>
        <w:gridCol w:w="2166"/>
        <w:gridCol w:w="511"/>
        <w:gridCol w:w="562"/>
        <w:gridCol w:w="667"/>
        <w:gridCol w:w="1234"/>
        <w:gridCol w:w="1142"/>
        <w:gridCol w:w="1234"/>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839"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学校名称</w:t>
            </w: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主办单位</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办学性质</w:t>
            </w:r>
          </w:p>
        </w:tc>
        <w:tc>
          <w:tcPr>
            <w:tcW w:w="4752" w:type="dxa"/>
            <w:gridSpan w:val="4"/>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学校类型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jc w:val="center"/>
        </w:trPr>
        <w:tc>
          <w:tcPr>
            <w:tcW w:w="839" w:type="dxa"/>
            <w:vMerge w:val="restart"/>
            <w:vAlign w:val="center"/>
          </w:tcPr>
          <w:p>
            <w:pPr>
              <w:tabs>
                <w:tab w:val="left" w:pos="1071"/>
              </w:tabs>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四川自贡市高级技工学校</w:t>
            </w:r>
          </w:p>
        </w:tc>
        <w:tc>
          <w:tcPr>
            <w:tcW w:w="2166" w:type="dxa"/>
            <w:vMerge w:val="restart"/>
            <w:vAlign w:val="center"/>
          </w:tcPr>
          <w:p>
            <w:pPr>
              <w:tabs>
                <w:tab w:val="left" w:pos="1071"/>
              </w:tabs>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自贡市人力资源和社会保障局</w:t>
            </w:r>
          </w:p>
        </w:tc>
        <w:tc>
          <w:tcPr>
            <w:tcW w:w="511"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公办</w:t>
            </w:r>
          </w:p>
        </w:tc>
        <w:tc>
          <w:tcPr>
            <w:tcW w:w="562"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民办</w:t>
            </w:r>
          </w:p>
        </w:tc>
        <w:tc>
          <w:tcPr>
            <w:tcW w:w="667"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国企办</w:t>
            </w:r>
          </w:p>
        </w:tc>
        <w:tc>
          <w:tcPr>
            <w:tcW w:w="2376"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国示范、省示范</w:t>
            </w:r>
          </w:p>
        </w:tc>
        <w:tc>
          <w:tcPr>
            <w:tcW w:w="2376"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通过验收年度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839" w:type="dxa"/>
            <w:vMerge w:val="continue"/>
            <w:vAlign w:val="center"/>
          </w:tcPr>
          <w:p>
            <w:pPr>
              <w:tabs>
                <w:tab w:val="left" w:pos="1071"/>
              </w:tabs>
              <w:adjustRightInd w:val="0"/>
              <w:snapToGrid w:val="0"/>
              <w:jc w:val="center"/>
              <w:rPr>
                <w:rFonts w:ascii="Times New Roman" w:hAnsi="Times New Roman" w:eastAsia="仿宋_GB2312" w:cs="Times New Roman"/>
                <w:szCs w:val="21"/>
              </w:rPr>
            </w:pPr>
          </w:p>
        </w:tc>
        <w:tc>
          <w:tcPr>
            <w:tcW w:w="2166" w:type="dxa"/>
            <w:vMerge w:val="continue"/>
            <w:vAlign w:val="center"/>
          </w:tcPr>
          <w:p>
            <w:pPr>
              <w:tabs>
                <w:tab w:val="left" w:pos="1071"/>
              </w:tabs>
              <w:adjustRightInd w:val="0"/>
              <w:snapToGrid w:val="0"/>
              <w:jc w:val="center"/>
              <w:rPr>
                <w:rFonts w:ascii="Times New Roman" w:hAnsi="Times New Roman" w:eastAsia="仿宋_GB2312" w:cs="Times New Roman"/>
                <w:szCs w:val="21"/>
              </w:rPr>
            </w:pPr>
          </w:p>
        </w:tc>
        <w:tc>
          <w:tcPr>
            <w:tcW w:w="511" w:type="dxa"/>
            <w:vAlign w:val="center"/>
          </w:tcPr>
          <w:p>
            <w:pPr>
              <w:tabs>
                <w:tab w:val="left" w:pos="1071"/>
              </w:tabs>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w:t>
            </w:r>
          </w:p>
        </w:tc>
        <w:tc>
          <w:tcPr>
            <w:tcW w:w="562" w:type="dxa"/>
            <w:vAlign w:val="center"/>
          </w:tcPr>
          <w:p>
            <w:pPr>
              <w:tabs>
                <w:tab w:val="left" w:pos="1071"/>
              </w:tabs>
              <w:adjustRightInd w:val="0"/>
              <w:snapToGrid w:val="0"/>
              <w:jc w:val="center"/>
              <w:rPr>
                <w:rFonts w:ascii="Times New Roman" w:hAnsi="Times New Roman" w:eastAsia="仿宋_GB2312" w:cs="Times New Roman"/>
                <w:szCs w:val="21"/>
              </w:rPr>
            </w:pPr>
          </w:p>
        </w:tc>
        <w:tc>
          <w:tcPr>
            <w:tcW w:w="667" w:type="dxa"/>
            <w:vAlign w:val="center"/>
          </w:tcPr>
          <w:p>
            <w:pPr>
              <w:tabs>
                <w:tab w:val="left" w:pos="1071"/>
              </w:tabs>
              <w:adjustRightInd w:val="0"/>
              <w:snapToGrid w:val="0"/>
              <w:jc w:val="center"/>
              <w:rPr>
                <w:rFonts w:ascii="Times New Roman" w:hAnsi="Times New Roman" w:eastAsia="仿宋_GB2312" w:cs="Times New Roman"/>
                <w:szCs w:val="21"/>
              </w:rPr>
            </w:pPr>
          </w:p>
        </w:tc>
        <w:tc>
          <w:tcPr>
            <w:tcW w:w="2376" w:type="dxa"/>
            <w:gridSpan w:val="2"/>
            <w:vAlign w:val="center"/>
          </w:tcPr>
          <w:p>
            <w:pPr>
              <w:tabs>
                <w:tab w:val="left" w:pos="1071"/>
              </w:tabs>
              <w:adjustRightInd w:val="0"/>
              <w:snapToGrid w:val="0"/>
              <w:jc w:val="center"/>
              <w:rPr>
                <w:rFonts w:ascii="Times New Roman" w:hAnsi="Times New Roman" w:eastAsia="仿宋_GB2312" w:cs="Times New Roman"/>
                <w:szCs w:val="21"/>
              </w:rPr>
            </w:pPr>
          </w:p>
        </w:tc>
        <w:tc>
          <w:tcPr>
            <w:tcW w:w="2376" w:type="dxa"/>
            <w:gridSpan w:val="2"/>
            <w:vAlign w:val="center"/>
          </w:tcPr>
          <w:p>
            <w:pPr>
              <w:tabs>
                <w:tab w:val="left" w:pos="1071"/>
              </w:tabs>
              <w:adjustRightInd w:val="0"/>
              <w:snapToGrid w:val="0"/>
              <w:jc w:val="center"/>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839"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序号</w:t>
            </w: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用地类型</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总面积</w:t>
            </w:r>
          </w:p>
        </w:tc>
        <w:tc>
          <w:tcPr>
            <w:tcW w:w="1234"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自有面积</w:t>
            </w:r>
          </w:p>
        </w:tc>
        <w:tc>
          <w:tcPr>
            <w:tcW w:w="1142"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租赁面积</w:t>
            </w:r>
          </w:p>
        </w:tc>
        <w:tc>
          <w:tcPr>
            <w:tcW w:w="1234"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独用面积</w:t>
            </w:r>
          </w:p>
        </w:tc>
        <w:tc>
          <w:tcPr>
            <w:tcW w:w="1142"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合用面积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9"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1</w:t>
            </w: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占地面积</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180156.772m²</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180156.772m²</w:t>
            </w:r>
          </w:p>
        </w:tc>
        <w:tc>
          <w:tcPr>
            <w:tcW w:w="1142"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180156.772m²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9"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其中，绿化面积</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81070m²</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81070m²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81070m²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9"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其中，操场面积</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26700m²</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26700m²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26700m²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9"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w:t>
            </w: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建筑面积</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66756.3m²</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66756.3m²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66756.3m²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9"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其中，教学及附属设施</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47765.94m²</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47765.94m²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47765.94m²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9"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其中，生活及附属设施</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18990.36m²</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18990.36m²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18990.36m²</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9"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其中，体育运动设施</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9"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3</w:t>
            </w:r>
          </w:p>
        </w:tc>
        <w:tc>
          <w:tcPr>
            <w:tcW w:w="21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其他</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hint="eastAsia" w:ascii="Times New Roman" w:hAnsi="Times New Roman" w:eastAsia="仿宋_GB2312"/>
                <w:szCs w:val="21"/>
              </w:rPr>
              <w:t>0</w:t>
            </w:r>
          </w:p>
        </w:tc>
        <w:tc>
          <w:tcPr>
            <w:tcW w:w="1142" w:type="dxa"/>
          </w:tcPr>
          <w:p>
            <w:pPr>
              <w:jc w:val="center"/>
              <w:rPr>
                <w:rFonts w:ascii="Times New Roman" w:hAnsi="Times New Roman" w:eastAsia="仿宋_GB2312" w:cs="Times New Roman"/>
                <w:szCs w:val="21"/>
              </w:rPr>
            </w:pPr>
            <w:r>
              <w:rPr>
                <w:rFonts w:hint="eastAsia" w:ascii="Times New Roman" w:hAnsi="Times New Roman" w:eastAsia="仿宋_GB2312"/>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3005"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合计</w:t>
            </w:r>
          </w:p>
        </w:tc>
        <w:tc>
          <w:tcPr>
            <w:tcW w:w="1740" w:type="dxa"/>
            <w:gridSpan w:val="3"/>
            <w:vAlign w:val="center"/>
          </w:tcPr>
          <w:p>
            <w:pPr>
              <w:tabs>
                <w:tab w:val="left" w:pos="1071"/>
              </w:tabs>
              <w:adjustRightInd w:val="0"/>
              <w:snapToGrid w:val="0"/>
              <w:jc w:val="center"/>
              <w:rPr>
                <w:rFonts w:ascii="Times New Roman" w:hAnsi="Times New Roman" w:eastAsia="仿宋_GB2312" w:cs="Times New Roman"/>
                <w:b/>
                <w:bCs/>
                <w:szCs w:val="21"/>
              </w:rPr>
            </w:pPr>
            <w:r>
              <w:rPr>
                <w:rFonts w:ascii="Times New Roman" w:hAnsi="Times New Roman" w:eastAsia="仿宋_GB2312"/>
                <w:szCs w:val="21"/>
              </w:rPr>
              <w:t>180156.772m²</w:t>
            </w:r>
          </w:p>
        </w:tc>
        <w:tc>
          <w:tcPr>
            <w:tcW w:w="1234" w:type="dxa"/>
            <w:vAlign w:val="center"/>
          </w:tcPr>
          <w:p>
            <w:pPr>
              <w:adjustRightInd w:val="0"/>
              <w:snapToGrid w:val="0"/>
              <w:rPr>
                <w:rFonts w:ascii="Times New Roman" w:hAnsi="Times New Roman" w:eastAsia="仿宋_GB2312" w:cs="Times New Roman"/>
                <w:szCs w:val="21"/>
              </w:rPr>
            </w:pPr>
            <w:r>
              <w:rPr>
                <w:rFonts w:ascii="Times New Roman" w:hAnsi="Times New Roman" w:eastAsia="仿宋_GB2312"/>
                <w:szCs w:val="21"/>
              </w:rPr>
              <w:t>180156.772m²</w:t>
            </w:r>
          </w:p>
        </w:tc>
        <w:tc>
          <w:tcPr>
            <w:tcW w:w="1142"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3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szCs w:val="21"/>
              </w:rPr>
              <w:t>180156.772m²</w:t>
            </w:r>
          </w:p>
        </w:tc>
        <w:tc>
          <w:tcPr>
            <w:tcW w:w="1142"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2.办学历史</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四川自贡市高级技工学校是经四川省人力资源和社会保障厅和自贡市人民政府批准，由原四川省盐业技工学校、自贡市机械技工学校、自贡市第一技工学校、自贡市二轻技工学校等四所省部级重点技工学校和自贡市建材技工学校于2001年整合建成，2008年建成国家级重点技工学校，2010年建成国家高级技工学校，2012年建成首批省级高技能人才培训基地，2014年建成国家级高技能人才培训基地、四川省首批（6个）技工院校一体化课程教学改革试点院校。</w:t>
      </w:r>
      <w:r>
        <w:rPr>
          <w:rFonts w:hint="eastAsia" w:ascii="仿宋" w:hAnsi="仿宋" w:eastAsia="仿宋" w:cs="仿宋"/>
          <w:sz w:val="32"/>
          <w:szCs w:val="32"/>
        </w:rPr>
        <w:t>学校先后建成国家数控实训基地、国家职业指导教学实验基地、全国专业技术人员职称计算机应用能力考试基地、全国保险从业资格考试基地、四川省职业培训综合基地、四川省再就业培训基地、四川省省级劳务培训基地、省级退役军人职业技能承训机构等国家级、省级培训、考试基地、自贡市职业技能等级认定机构，具有自贡市职业院校中唯一的国家职业技能鉴定所（川-028）。学校</w:t>
      </w:r>
      <w:r>
        <w:rPr>
          <w:rFonts w:hint="eastAsia" w:ascii="Times New Roman" w:hAnsi="Times New Roman" w:eastAsia="仿宋_GB2312" w:cs="Times New Roman"/>
          <w:sz w:val="32"/>
        </w:rPr>
        <w:t>是目前我市唯一可开展高级工专业学制教育的国办全日制学校和唯一的国家级高技能人才培训基地。</w:t>
      </w:r>
    </w:p>
    <w:p>
      <w:pPr>
        <w:tabs>
          <w:tab w:val="left" w:pos="1071"/>
        </w:tabs>
        <w:spacing w:line="580" w:lineRule="exact"/>
        <w:ind w:firstLine="643" w:firstLineChars="200"/>
        <w:rPr>
          <w:rFonts w:hint="eastAsia" w:ascii="Times New Roman" w:hAnsi="Times New Roman" w:eastAsia="仿宋_GB2312" w:cs="Times New Roman"/>
          <w:b/>
          <w:color w:val="FF0000"/>
          <w:sz w:val="32"/>
          <w:lang w:eastAsia="zh-CN"/>
        </w:rPr>
      </w:pPr>
      <w:r>
        <w:rPr>
          <w:rFonts w:ascii="Times New Roman" w:hAnsi="Times New Roman" w:eastAsia="仿宋_GB2312" w:cs="Times New Roman"/>
          <w:b/>
          <w:sz w:val="32"/>
        </w:rPr>
        <w:t>3.固定资产</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 2020-2021年学校固定资产统计表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6"/>
        <w:gridCol w:w="2994"/>
        <w:gridCol w:w="2049"/>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82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序号</w:t>
            </w:r>
          </w:p>
        </w:tc>
        <w:tc>
          <w:tcPr>
            <w:tcW w:w="2994"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用地类型</w:t>
            </w:r>
          </w:p>
        </w:tc>
        <w:tc>
          <w:tcPr>
            <w:tcW w:w="2049"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价值（万元）</w:t>
            </w:r>
          </w:p>
        </w:tc>
        <w:tc>
          <w:tcPr>
            <w:tcW w:w="2985"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826"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299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建筑物价值</w:t>
            </w:r>
          </w:p>
        </w:tc>
        <w:tc>
          <w:tcPr>
            <w:tcW w:w="2049"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szCs w:val="21"/>
              </w:rPr>
              <w:t>11207.98</w:t>
            </w:r>
          </w:p>
        </w:tc>
        <w:tc>
          <w:tcPr>
            <w:tcW w:w="2985"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租赁性质建筑物不统计在内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826" w:type="dxa"/>
            <w:vMerge w:val="restart"/>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2</w:t>
            </w:r>
          </w:p>
        </w:tc>
        <w:tc>
          <w:tcPr>
            <w:tcW w:w="299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仪器设备总值</w:t>
            </w:r>
          </w:p>
        </w:tc>
        <w:tc>
          <w:tcPr>
            <w:tcW w:w="2049"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szCs w:val="21"/>
              </w:rPr>
              <w:t>2534.8</w:t>
            </w:r>
          </w:p>
        </w:tc>
        <w:tc>
          <w:tcPr>
            <w:tcW w:w="2985" w:type="dxa"/>
            <w:vAlign w:val="center"/>
          </w:tcPr>
          <w:p>
            <w:pPr>
              <w:tabs>
                <w:tab w:val="left" w:pos="1071"/>
              </w:tabs>
              <w:adjustRightInd w:val="0"/>
              <w:snapToGrid w:val="0"/>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26" w:type="dxa"/>
            <w:vMerge w:val="continue"/>
            <w:vAlign w:val="center"/>
          </w:tcPr>
          <w:p>
            <w:pPr>
              <w:tabs>
                <w:tab w:val="left" w:pos="1071"/>
              </w:tabs>
              <w:adjustRightInd w:val="0"/>
              <w:snapToGrid w:val="0"/>
              <w:jc w:val="center"/>
              <w:rPr>
                <w:rFonts w:ascii="Times New Roman" w:hAnsi="Times New Roman" w:eastAsia="仿宋_GB2312" w:cs="Times New Roman"/>
                <w:szCs w:val="21"/>
              </w:rPr>
            </w:pPr>
          </w:p>
        </w:tc>
        <w:tc>
          <w:tcPr>
            <w:tcW w:w="299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其中，通用仪器设备价值</w:t>
            </w:r>
          </w:p>
        </w:tc>
        <w:tc>
          <w:tcPr>
            <w:tcW w:w="2049"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szCs w:val="21"/>
              </w:rPr>
              <w:t>1997.25</w:t>
            </w:r>
          </w:p>
        </w:tc>
        <w:tc>
          <w:tcPr>
            <w:tcW w:w="2985" w:type="dxa"/>
            <w:vAlign w:val="center"/>
          </w:tcPr>
          <w:p>
            <w:pPr>
              <w:tabs>
                <w:tab w:val="left" w:pos="1071"/>
              </w:tabs>
              <w:adjustRightInd w:val="0"/>
              <w:snapToGrid w:val="0"/>
              <w:rPr>
                <w:rFonts w:ascii="Times New Roman" w:hAnsi="Times New Roman" w:eastAsia="仿宋_GB2312" w:cs="Times New Roman"/>
                <w:szCs w:val="21"/>
              </w:rPr>
            </w:pPr>
            <w:r>
              <w:rPr>
                <w:rFonts w:ascii="Times New Roman" w:hAnsi="Times New Roman" w:eastAsia="仿宋_GB2312" w:cs="Times New Roman"/>
                <w:szCs w:val="21"/>
              </w:rPr>
              <w:t>除专业实训设备以外的仪器设备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26" w:type="dxa"/>
            <w:vMerge w:val="continue"/>
            <w:vAlign w:val="center"/>
          </w:tcPr>
          <w:p>
            <w:pPr>
              <w:tabs>
                <w:tab w:val="left" w:pos="1071"/>
              </w:tabs>
              <w:adjustRightInd w:val="0"/>
              <w:snapToGrid w:val="0"/>
              <w:jc w:val="center"/>
              <w:rPr>
                <w:rFonts w:ascii="Times New Roman" w:hAnsi="Times New Roman" w:eastAsia="仿宋_GB2312" w:cs="Times New Roman"/>
                <w:szCs w:val="21"/>
              </w:rPr>
            </w:pPr>
          </w:p>
        </w:tc>
        <w:tc>
          <w:tcPr>
            <w:tcW w:w="299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其中，体育设备及仪器价值</w:t>
            </w:r>
          </w:p>
        </w:tc>
        <w:tc>
          <w:tcPr>
            <w:tcW w:w="2049"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szCs w:val="21"/>
              </w:rPr>
              <w:t>12.05</w:t>
            </w:r>
          </w:p>
        </w:tc>
        <w:tc>
          <w:tcPr>
            <w:tcW w:w="2985" w:type="dxa"/>
            <w:vAlign w:val="center"/>
          </w:tcPr>
          <w:p>
            <w:pPr>
              <w:tabs>
                <w:tab w:val="left" w:pos="1071"/>
              </w:tabs>
              <w:adjustRightInd w:val="0"/>
              <w:snapToGrid w:val="0"/>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826" w:type="dxa"/>
            <w:vMerge w:val="continue"/>
            <w:vAlign w:val="center"/>
          </w:tcPr>
          <w:p>
            <w:pPr>
              <w:tabs>
                <w:tab w:val="left" w:pos="1071"/>
              </w:tabs>
              <w:adjustRightInd w:val="0"/>
              <w:snapToGrid w:val="0"/>
              <w:jc w:val="center"/>
              <w:rPr>
                <w:rFonts w:ascii="Times New Roman" w:hAnsi="Times New Roman" w:eastAsia="仿宋_GB2312" w:cs="Times New Roman"/>
                <w:szCs w:val="21"/>
              </w:rPr>
            </w:pPr>
          </w:p>
        </w:tc>
        <w:tc>
          <w:tcPr>
            <w:tcW w:w="2994"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其中，教学仪器设备价值</w:t>
            </w:r>
          </w:p>
        </w:tc>
        <w:tc>
          <w:tcPr>
            <w:tcW w:w="2049" w:type="dxa"/>
            <w:vAlign w:val="center"/>
          </w:tcPr>
          <w:p>
            <w:pPr>
              <w:adjustRightInd w:val="0"/>
              <w:snapToGrid w:val="0"/>
              <w:jc w:val="center"/>
              <w:rPr>
                <w:rFonts w:ascii="Times New Roman" w:hAnsi="Times New Roman" w:eastAsia="仿宋_GB2312" w:cs="Times New Roman"/>
                <w:szCs w:val="21"/>
              </w:rPr>
            </w:pPr>
            <w:r>
              <w:rPr>
                <w:rFonts w:ascii="Times New Roman" w:hAnsi="Times New Roman"/>
                <w:szCs w:val="21"/>
              </w:rPr>
              <w:t>525.50</w:t>
            </w:r>
          </w:p>
        </w:tc>
        <w:tc>
          <w:tcPr>
            <w:tcW w:w="2985" w:type="dxa"/>
            <w:vAlign w:val="center"/>
          </w:tcPr>
          <w:p>
            <w:pPr>
              <w:adjustRightInd w:val="0"/>
              <w:snapToGrid w:val="0"/>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3820" w:type="dxa"/>
            <w:gridSpan w:val="2"/>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合计</w:t>
            </w:r>
          </w:p>
        </w:tc>
        <w:tc>
          <w:tcPr>
            <w:tcW w:w="2049"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szCs w:val="21"/>
              </w:rPr>
              <w:t>13742.78</w:t>
            </w:r>
          </w:p>
        </w:tc>
        <w:tc>
          <w:tcPr>
            <w:tcW w:w="2985" w:type="dxa"/>
            <w:vAlign w:val="center"/>
          </w:tcPr>
          <w:p>
            <w:pPr>
              <w:adjustRightInd w:val="0"/>
              <w:snapToGrid w:val="0"/>
              <w:rPr>
                <w:rFonts w:ascii="Times New Roman" w:hAnsi="Times New Roman" w:eastAsia="仿宋_GB2312" w:cs="Times New Roman"/>
                <w:szCs w:val="21"/>
              </w:rPr>
            </w:pPr>
          </w:p>
        </w:tc>
      </w:tr>
    </w:tbl>
    <w:p>
      <w:pPr>
        <w:tabs>
          <w:tab w:val="left" w:pos="1071"/>
        </w:tabs>
        <w:spacing w:line="580" w:lineRule="exact"/>
        <w:ind w:firstLine="643" w:firstLineChars="200"/>
        <w:rPr>
          <w:rFonts w:ascii="Times New Roman" w:hAnsi="Times New Roman" w:eastAsia="仿宋_GB2312" w:cs="Times New Roman"/>
          <w:sz w:val="32"/>
        </w:rPr>
      </w:pPr>
      <w:r>
        <w:rPr>
          <w:rFonts w:ascii="Times New Roman" w:hAnsi="Times New Roman" w:eastAsia="仿宋_GB2312" w:cs="Times New Roman"/>
          <w:b/>
          <w:sz w:val="32"/>
        </w:rPr>
        <w:t>4.学校荣誉</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学</w:t>
      </w:r>
      <w:r>
        <w:rPr>
          <w:rFonts w:hint="eastAsia" w:ascii="Times New Roman" w:hAnsi="Times New Roman" w:eastAsia="仿宋_GB2312" w:cs="Times New Roman"/>
          <w:sz w:val="32"/>
        </w:rPr>
        <w:t>校</w:t>
      </w:r>
      <w:r>
        <w:rPr>
          <w:rFonts w:ascii="Times New Roman" w:hAnsi="Times New Roman" w:eastAsia="仿宋_GB2312" w:cs="Times New Roman"/>
          <w:sz w:val="32"/>
        </w:rPr>
        <w:t>先后荣获全国、省、市职教先进单位、省卫生先进单位、市人才开发先进单位、市级最佳文明单位等荣誉称号。</w:t>
      </w:r>
    </w:p>
    <w:p>
      <w:pPr>
        <w:pStyle w:val="3"/>
        <w:spacing w:line="580" w:lineRule="exact"/>
        <w:ind w:left="0" w:firstLine="640" w:firstLineChars="200"/>
        <w:rPr>
          <w:rFonts w:hint="eastAsia" w:ascii="Times New Roman" w:hAnsi="Times New Roman" w:eastAsia="楷体_GB2312" w:cs="Times New Roman"/>
          <w:b w:val="0"/>
          <w:lang w:eastAsia="zh-CN"/>
        </w:rPr>
      </w:pPr>
      <w:r>
        <w:rPr>
          <w:rFonts w:ascii="Times New Roman" w:hAnsi="Times New Roman" w:eastAsia="楷体_GB2312" w:cs="Times New Roman"/>
          <w:b w:val="0"/>
        </w:rPr>
        <w:t>（二）学生情况</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1.招生规模</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lang w:val="zh-CN"/>
        </w:rPr>
        <w:t>2020</w:t>
      </w:r>
      <w:r>
        <w:rPr>
          <w:rFonts w:hint="eastAsia" w:ascii="Times New Roman" w:hAnsi="Times New Roman" w:eastAsia="仿宋_GB2312" w:cs="Times New Roman"/>
          <w:sz w:val="32"/>
          <w:lang w:val="zh-CN"/>
        </w:rPr>
        <w:t>年完成中职招生</w:t>
      </w:r>
      <w:r>
        <w:rPr>
          <w:rFonts w:hint="eastAsia" w:ascii="Times New Roman" w:hAnsi="Times New Roman" w:eastAsia="仿宋_GB2312" w:cs="Times New Roman"/>
          <w:sz w:val="32"/>
        </w:rPr>
        <w:t>3</w:t>
      </w:r>
      <w:r>
        <w:rPr>
          <w:rFonts w:ascii="Times New Roman" w:hAnsi="Times New Roman" w:eastAsia="仿宋_GB2312" w:cs="Times New Roman"/>
          <w:sz w:val="32"/>
        </w:rPr>
        <w:t>23</w:t>
      </w:r>
      <w:r>
        <w:rPr>
          <w:rFonts w:hint="eastAsia" w:ascii="Times New Roman" w:hAnsi="Times New Roman" w:eastAsia="仿宋_GB2312" w:cs="Times New Roman"/>
          <w:sz w:val="32"/>
        </w:rPr>
        <w:t>人（</w:t>
      </w:r>
      <w:r>
        <w:rPr>
          <w:rFonts w:hint="eastAsia" w:ascii="Times New Roman" w:hAnsi="Times New Roman" w:eastAsia="仿宋_GB2312" w:cs="Times New Roman"/>
          <w:sz w:val="32"/>
          <w:lang w:val="zh-CN"/>
        </w:rPr>
        <w:t>其中中级工</w:t>
      </w:r>
      <w:r>
        <w:rPr>
          <w:rFonts w:ascii="Times New Roman" w:hAnsi="Times New Roman" w:eastAsia="仿宋_GB2312" w:cs="Times New Roman"/>
          <w:sz w:val="32"/>
        </w:rPr>
        <w:t>300</w:t>
      </w:r>
      <w:r>
        <w:rPr>
          <w:rFonts w:hint="eastAsia" w:ascii="Times New Roman" w:hAnsi="Times New Roman" w:eastAsia="仿宋_GB2312" w:cs="Times New Roman"/>
          <w:sz w:val="32"/>
        </w:rPr>
        <w:t>人，高级工2</w:t>
      </w:r>
      <w:r>
        <w:rPr>
          <w:rFonts w:ascii="Times New Roman" w:hAnsi="Times New Roman" w:eastAsia="仿宋_GB2312" w:cs="Times New Roman"/>
          <w:sz w:val="32"/>
        </w:rPr>
        <w:t>3</w:t>
      </w:r>
      <w:r>
        <w:rPr>
          <w:rFonts w:hint="eastAsia" w:ascii="Times New Roman" w:hAnsi="Times New Roman" w:eastAsia="仿宋_GB2312" w:cs="Times New Roman"/>
          <w:sz w:val="32"/>
        </w:rPr>
        <w:t>人）。2</w:t>
      </w:r>
      <w:r>
        <w:rPr>
          <w:rFonts w:ascii="Times New Roman" w:hAnsi="Times New Roman" w:eastAsia="仿宋_GB2312" w:cs="Times New Roman"/>
          <w:sz w:val="32"/>
        </w:rPr>
        <w:t>021</w:t>
      </w:r>
      <w:r>
        <w:rPr>
          <w:rFonts w:hint="eastAsia" w:ascii="Times New Roman" w:hAnsi="Times New Roman" w:eastAsia="仿宋_GB2312" w:cs="Times New Roman"/>
          <w:sz w:val="32"/>
        </w:rPr>
        <w:t>年学校不断改革创新招生理念与招生形式，推动校企合作、校校合作、校地合作招生模式，加大招生宣传，挖掘教职工潜在资源，凝聚合力，着力打通生源学校，化解招生被动局面，促进招生规模增长。</w:t>
      </w:r>
      <w:r>
        <w:rPr>
          <w:rFonts w:ascii="Times New Roman" w:hAnsi="Times New Roman" w:eastAsia="仿宋_GB2312" w:cs="Times New Roman"/>
          <w:sz w:val="32"/>
          <w:lang w:val="zh-CN"/>
        </w:rPr>
        <w:t>2021</w:t>
      </w:r>
      <w:r>
        <w:rPr>
          <w:rFonts w:hint="eastAsia" w:ascii="Times New Roman" w:hAnsi="Times New Roman" w:eastAsia="仿宋_GB2312" w:cs="Times New Roman"/>
          <w:sz w:val="32"/>
          <w:lang w:val="zh-CN"/>
        </w:rPr>
        <w:t>年最终完成中职招生</w:t>
      </w:r>
      <w:r>
        <w:rPr>
          <w:rFonts w:ascii="Times New Roman" w:hAnsi="Times New Roman" w:eastAsia="仿宋_GB2312" w:cs="Times New Roman"/>
          <w:sz w:val="32"/>
        </w:rPr>
        <w:t>456</w:t>
      </w:r>
      <w:r>
        <w:rPr>
          <w:rFonts w:hint="eastAsia" w:ascii="Times New Roman" w:hAnsi="Times New Roman" w:eastAsia="仿宋_GB2312" w:cs="Times New Roman"/>
          <w:sz w:val="32"/>
        </w:rPr>
        <w:t>人（</w:t>
      </w:r>
      <w:r>
        <w:rPr>
          <w:rFonts w:hint="eastAsia" w:ascii="Times New Roman" w:hAnsi="Times New Roman" w:eastAsia="仿宋_GB2312" w:cs="Times New Roman"/>
          <w:sz w:val="32"/>
          <w:lang w:val="zh-CN"/>
        </w:rPr>
        <w:t>其中中级工</w:t>
      </w:r>
      <w:r>
        <w:rPr>
          <w:rFonts w:ascii="Times New Roman" w:hAnsi="Times New Roman" w:eastAsia="仿宋_GB2312" w:cs="Times New Roman"/>
          <w:sz w:val="32"/>
        </w:rPr>
        <w:t>395</w:t>
      </w:r>
      <w:r>
        <w:rPr>
          <w:rFonts w:hint="eastAsia" w:ascii="Times New Roman" w:hAnsi="Times New Roman" w:eastAsia="仿宋_GB2312" w:cs="Times New Roman"/>
          <w:sz w:val="32"/>
        </w:rPr>
        <w:t>人，高级工</w:t>
      </w:r>
      <w:r>
        <w:rPr>
          <w:rFonts w:ascii="Times New Roman" w:hAnsi="Times New Roman" w:eastAsia="仿宋_GB2312" w:cs="Times New Roman"/>
          <w:sz w:val="32"/>
        </w:rPr>
        <w:t>61</w:t>
      </w:r>
      <w:r>
        <w:rPr>
          <w:rFonts w:hint="eastAsia" w:ascii="Times New Roman" w:hAnsi="Times New Roman" w:eastAsia="仿宋_GB2312" w:cs="Times New Roman"/>
          <w:sz w:val="32"/>
        </w:rPr>
        <w:t>人），2</w:t>
      </w:r>
      <w:r>
        <w:rPr>
          <w:rFonts w:ascii="Times New Roman" w:hAnsi="Times New Roman" w:eastAsia="仿宋_GB2312" w:cs="Times New Roman"/>
          <w:sz w:val="32"/>
        </w:rPr>
        <w:t>021</w:t>
      </w:r>
      <w:r>
        <w:rPr>
          <w:rFonts w:hint="eastAsia" w:ascii="Times New Roman" w:hAnsi="Times New Roman" w:eastAsia="仿宋_GB2312" w:cs="Times New Roman"/>
          <w:sz w:val="32"/>
        </w:rPr>
        <w:t>年招生总人数比2</w:t>
      </w:r>
      <w:r>
        <w:rPr>
          <w:rFonts w:ascii="Times New Roman" w:hAnsi="Times New Roman" w:eastAsia="仿宋_GB2312" w:cs="Times New Roman"/>
          <w:sz w:val="32"/>
        </w:rPr>
        <w:t>020</w:t>
      </w:r>
      <w:r>
        <w:rPr>
          <w:rFonts w:hint="eastAsia" w:ascii="Times New Roman" w:hAnsi="Times New Roman" w:eastAsia="仿宋_GB2312" w:cs="Times New Roman"/>
          <w:sz w:val="32"/>
        </w:rPr>
        <w:t>年招生总人数增加1</w:t>
      </w:r>
      <w:r>
        <w:rPr>
          <w:rFonts w:ascii="Times New Roman" w:hAnsi="Times New Roman" w:eastAsia="仿宋_GB2312" w:cs="Times New Roman"/>
          <w:sz w:val="32"/>
        </w:rPr>
        <w:t>33</w:t>
      </w:r>
      <w:r>
        <w:rPr>
          <w:rFonts w:hint="eastAsia" w:ascii="Times New Roman" w:hAnsi="Times New Roman" w:eastAsia="仿宋_GB2312" w:cs="Times New Roman"/>
          <w:sz w:val="32"/>
        </w:rPr>
        <w:t>人，同比增长4</w:t>
      </w:r>
      <w:r>
        <w:rPr>
          <w:rFonts w:ascii="Times New Roman" w:hAnsi="Times New Roman" w:eastAsia="仿宋_GB2312" w:cs="Times New Roman"/>
          <w:sz w:val="32"/>
        </w:rPr>
        <w:t>1.20</w:t>
      </w:r>
      <w:r>
        <w:rPr>
          <w:rFonts w:hint="eastAsia" w:ascii="Times New Roman" w:hAnsi="Times New Roman" w:eastAsia="仿宋_GB2312" w:cs="Times New Roman"/>
          <w:sz w:val="32"/>
        </w:rPr>
        <w:t>%（</w:t>
      </w:r>
      <w:r>
        <w:rPr>
          <w:rFonts w:hint="eastAsia" w:ascii="Times New Roman" w:hAnsi="Times New Roman" w:eastAsia="仿宋_GB2312" w:cs="Times New Roman"/>
          <w:sz w:val="32"/>
          <w:lang w:val="zh-CN"/>
        </w:rPr>
        <w:t>其中中级工人数</w:t>
      </w:r>
      <w:r>
        <w:rPr>
          <w:rFonts w:hint="eastAsia" w:ascii="Times New Roman" w:hAnsi="Times New Roman" w:eastAsia="仿宋_GB2312" w:cs="Times New Roman"/>
          <w:sz w:val="32"/>
        </w:rPr>
        <w:t>增加</w:t>
      </w:r>
      <w:r>
        <w:rPr>
          <w:rFonts w:ascii="Times New Roman" w:hAnsi="Times New Roman" w:eastAsia="仿宋_GB2312" w:cs="Times New Roman"/>
          <w:sz w:val="32"/>
        </w:rPr>
        <w:t>95</w:t>
      </w:r>
      <w:r>
        <w:rPr>
          <w:rFonts w:hint="eastAsia" w:ascii="Times New Roman" w:hAnsi="Times New Roman" w:eastAsia="仿宋_GB2312" w:cs="Times New Roman"/>
          <w:sz w:val="32"/>
        </w:rPr>
        <w:t>人，同比增长</w:t>
      </w:r>
      <w:r>
        <w:rPr>
          <w:rFonts w:ascii="Times New Roman" w:hAnsi="Times New Roman" w:eastAsia="仿宋_GB2312" w:cs="Times New Roman"/>
          <w:sz w:val="32"/>
        </w:rPr>
        <w:t>31.67</w:t>
      </w:r>
      <w:r>
        <w:rPr>
          <w:rFonts w:hint="eastAsia" w:ascii="Times New Roman" w:hAnsi="Times New Roman" w:eastAsia="仿宋_GB2312" w:cs="Times New Roman"/>
          <w:sz w:val="32"/>
        </w:rPr>
        <w:t>%，高级工人数增加3</w:t>
      </w:r>
      <w:r>
        <w:rPr>
          <w:rFonts w:ascii="Times New Roman" w:hAnsi="Times New Roman" w:eastAsia="仿宋_GB2312" w:cs="Times New Roman"/>
          <w:sz w:val="32"/>
        </w:rPr>
        <w:t>8</w:t>
      </w:r>
      <w:r>
        <w:rPr>
          <w:rFonts w:hint="eastAsia" w:ascii="Times New Roman" w:hAnsi="Times New Roman" w:eastAsia="仿宋_GB2312" w:cs="Times New Roman"/>
          <w:sz w:val="32"/>
        </w:rPr>
        <w:t>人，</w:t>
      </w:r>
      <w:bookmarkStart w:id="0" w:name="_Hlk90410282"/>
      <w:r>
        <w:rPr>
          <w:rFonts w:hint="eastAsia" w:ascii="Times New Roman" w:hAnsi="Times New Roman" w:eastAsia="仿宋_GB2312" w:cs="Times New Roman"/>
          <w:sz w:val="32"/>
        </w:rPr>
        <w:t>同比增长</w:t>
      </w:r>
      <w:bookmarkEnd w:id="0"/>
      <w:r>
        <w:rPr>
          <w:rFonts w:ascii="Times New Roman" w:hAnsi="Times New Roman" w:eastAsia="仿宋_GB2312" w:cs="Times New Roman"/>
          <w:sz w:val="32"/>
        </w:rPr>
        <w:t>165.22</w:t>
      </w:r>
      <w:r>
        <w:rPr>
          <w:rFonts w:hint="eastAsia" w:ascii="Times New Roman" w:hAnsi="Times New Roman" w:eastAsia="仿宋_GB2312" w:cs="Times New Roman"/>
          <w:sz w:val="32"/>
        </w:rPr>
        <w:t>%）。</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表3 2020-2021年招生区域人数统计表</w:t>
      </w:r>
    </w:p>
    <w:tbl>
      <w:tblPr>
        <w:tblStyle w:val="9"/>
        <w:tblW w:w="7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30"/>
        <w:gridCol w:w="1071"/>
        <w:gridCol w:w="937"/>
        <w:gridCol w:w="895"/>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326" w:type="dxa"/>
            <w:gridSpan w:val="5"/>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生源覆盖区域情况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430"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区域范围</w:t>
            </w:r>
          </w:p>
        </w:tc>
        <w:tc>
          <w:tcPr>
            <w:tcW w:w="2008"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人数（人）</w:t>
            </w:r>
          </w:p>
        </w:tc>
        <w:tc>
          <w:tcPr>
            <w:tcW w:w="1888"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430"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1071"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937"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895"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993"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430"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招生总人数</w:t>
            </w:r>
          </w:p>
        </w:tc>
        <w:tc>
          <w:tcPr>
            <w:tcW w:w="1071" w:type="dxa"/>
            <w:vAlign w:val="center"/>
          </w:tcPr>
          <w:p>
            <w:pPr>
              <w:adjustRightInd w:val="0"/>
              <w:snapToGrid w:val="0"/>
              <w:jc w:val="center"/>
              <w:rPr>
                <w:rFonts w:ascii="Times New Roman" w:hAnsi="Times New Roman" w:eastAsia="仿宋_GB2312" w:cs="Times New Roman"/>
                <w:b/>
                <w:szCs w:val="21"/>
              </w:rPr>
            </w:pPr>
            <w:r>
              <w:rPr>
                <w:rFonts w:hint="eastAsia" w:ascii="Times New Roman" w:hAnsi="Times New Roman" w:eastAsia="仿宋_GB2312" w:cs="Times New Roman"/>
                <w:b/>
              </w:rPr>
              <w:t>3</w:t>
            </w:r>
            <w:r>
              <w:rPr>
                <w:rFonts w:ascii="Times New Roman" w:hAnsi="Times New Roman" w:eastAsia="仿宋_GB2312" w:cs="Times New Roman"/>
                <w:b/>
              </w:rPr>
              <w:t>23</w:t>
            </w:r>
          </w:p>
        </w:tc>
        <w:tc>
          <w:tcPr>
            <w:tcW w:w="937" w:type="dxa"/>
            <w:vAlign w:val="center"/>
          </w:tcPr>
          <w:p>
            <w:pPr>
              <w:adjustRightInd w:val="0"/>
              <w:snapToGrid w:val="0"/>
              <w:jc w:val="center"/>
              <w:rPr>
                <w:rFonts w:ascii="Times New Roman" w:hAnsi="Times New Roman" w:eastAsia="仿宋_GB2312" w:cs="Times New Roman"/>
                <w:b/>
                <w:szCs w:val="21"/>
              </w:rPr>
            </w:pPr>
            <w:r>
              <w:rPr>
                <w:rFonts w:hint="eastAsia" w:ascii="Times New Roman" w:hAnsi="Times New Roman" w:eastAsia="仿宋_GB2312" w:cs="Times New Roman"/>
                <w:b/>
              </w:rPr>
              <w:t>4</w:t>
            </w:r>
            <w:r>
              <w:rPr>
                <w:rFonts w:ascii="Times New Roman" w:hAnsi="Times New Roman" w:eastAsia="仿宋_GB2312" w:cs="Times New Roman"/>
                <w:b/>
              </w:rPr>
              <w:t>56</w:t>
            </w:r>
          </w:p>
        </w:tc>
        <w:tc>
          <w:tcPr>
            <w:tcW w:w="895" w:type="dxa"/>
            <w:vAlign w:val="center"/>
          </w:tcPr>
          <w:p>
            <w:pPr>
              <w:adjustRightInd w:val="0"/>
              <w:snapToGrid w:val="0"/>
              <w:ind w:firstLine="211" w:firstLineChars="100"/>
              <w:rPr>
                <w:rFonts w:ascii="Times New Roman" w:hAnsi="Times New Roman" w:eastAsia="仿宋_GB2312" w:cs="Times New Roman"/>
                <w:b/>
                <w:szCs w:val="21"/>
              </w:rPr>
            </w:pPr>
            <w:r>
              <w:rPr>
                <w:rFonts w:ascii="Times New Roman" w:hAnsi="Times New Roman" w:eastAsia="仿宋_GB2312" w:cs="Times New Roman"/>
                <w:b/>
              </w:rPr>
              <w:t>100</w:t>
            </w:r>
            <w:r>
              <w:rPr>
                <w:rFonts w:hint="eastAsia" w:ascii="Times New Roman" w:hAnsi="Times New Roman" w:eastAsia="仿宋_GB2312" w:cs="Times New Roman"/>
                <w:b/>
              </w:rPr>
              <w:t>%</w:t>
            </w:r>
          </w:p>
        </w:tc>
        <w:tc>
          <w:tcPr>
            <w:tcW w:w="993"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rPr>
              <w:t>100</w:t>
            </w:r>
            <w:r>
              <w:rPr>
                <w:rFonts w:hint="eastAsia" w:ascii="Times New Roman" w:hAnsi="Times New Roman" w:eastAsia="仿宋_GB2312"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430"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本市（州）招生人数</w:t>
            </w:r>
          </w:p>
        </w:tc>
        <w:tc>
          <w:tcPr>
            <w:tcW w:w="1071"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rPr>
              <w:t>274</w:t>
            </w:r>
          </w:p>
        </w:tc>
        <w:tc>
          <w:tcPr>
            <w:tcW w:w="937" w:type="dxa"/>
            <w:vAlign w:val="center"/>
          </w:tcPr>
          <w:p>
            <w:pPr>
              <w:adjustRightInd w:val="0"/>
              <w:snapToGrid w:val="0"/>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4</w:t>
            </w:r>
            <w:r>
              <w:rPr>
                <w:rFonts w:ascii="Times New Roman" w:hAnsi="Times New Roman" w:eastAsia="仿宋_GB2312" w:cs="Times New Roman"/>
                <w:b/>
                <w:szCs w:val="21"/>
              </w:rPr>
              <w:t>05</w:t>
            </w:r>
          </w:p>
        </w:tc>
        <w:tc>
          <w:tcPr>
            <w:tcW w:w="895"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rPr>
              <w:t>84.83</w:t>
            </w:r>
            <w:r>
              <w:rPr>
                <w:rFonts w:hint="eastAsia" w:ascii="Times New Roman" w:hAnsi="Times New Roman" w:eastAsia="仿宋_GB2312" w:cs="Times New Roman"/>
                <w:b/>
              </w:rPr>
              <w:t>%</w:t>
            </w:r>
          </w:p>
        </w:tc>
        <w:tc>
          <w:tcPr>
            <w:tcW w:w="993"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rPr>
              <w:t>88.82</w:t>
            </w:r>
            <w:r>
              <w:rPr>
                <w:rFonts w:hint="eastAsia" w:ascii="Times New Roman" w:hAnsi="Times New Roman" w:eastAsia="仿宋_GB2312"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430"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省内市（州）外招生人数</w:t>
            </w:r>
          </w:p>
        </w:tc>
        <w:tc>
          <w:tcPr>
            <w:tcW w:w="1071" w:type="dxa"/>
            <w:vAlign w:val="center"/>
          </w:tcPr>
          <w:p>
            <w:pPr>
              <w:adjustRightInd w:val="0"/>
              <w:snapToGrid w:val="0"/>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4</w:t>
            </w:r>
            <w:r>
              <w:rPr>
                <w:rFonts w:ascii="Times New Roman" w:hAnsi="Times New Roman" w:eastAsia="仿宋_GB2312" w:cs="Times New Roman"/>
                <w:b/>
                <w:szCs w:val="21"/>
              </w:rPr>
              <w:t>1</w:t>
            </w:r>
          </w:p>
        </w:tc>
        <w:tc>
          <w:tcPr>
            <w:tcW w:w="937" w:type="dxa"/>
            <w:vAlign w:val="center"/>
          </w:tcPr>
          <w:p>
            <w:pPr>
              <w:adjustRightInd w:val="0"/>
              <w:snapToGrid w:val="0"/>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4</w:t>
            </w:r>
            <w:r>
              <w:rPr>
                <w:rFonts w:ascii="Times New Roman" w:hAnsi="Times New Roman" w:eastAsia="仿宋_GB2312" w:cs="Times New Roman"/>
                <w:b/>
                <w:szCs w:val="21"/>
              </w:rPr>
              <w:t>7</w:t>
            </w:r>
          </w:p>
        </w:tc>
        <w:tc>
          <w:tcPr>
            <w:tcW w:w="895"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rPr>
              <w:t>12.69</w:t>
            </w:r>
            <w:r>
              <w:rPr>
                <w:rFonts w:hint="eastAsia" w:ascii="Times New Roman" w:hAnsi="Times New Roman" w:eastAsia="仿宋_GB2312" w:cs="Times New Roman"/>
                <w:b/>
              </w:rPr>
              <w:t>%</w:t>
            </w:r>
          </w:p>
        </w:tc>
        <w:tc>
          <w:tcPr>
            <w:tcW w:w="993" w:type="dxa"/>
            <w:vAlign w:val="center"/>
          </w:tcPr>
          <w:p>
            <w:pPr>
              <w:adjustRightInd w:val="0"/>
              <w:snapToGrid w:val="0"/>
              <w:rPr>
                <w:rFonts w:ascii="Times New Roman" w:hAnsi="Times New Roman" w:eastAsia="仿宋_GB2312" w:cs="Times New Roman"/>
                <w:b/>
                <w:szCs w:val="21"/>
              </w:rPr>
            </w:pPr>
            <w:r>
              <w:rPr>
                <w:rFonts w:hint="eastAsia" w:ascii="Times New Roman" w:hAnsi="Times New Roman" w:eastAsia="仿宋_GB2312" w:cs="Times New Roman"/>
                <w:b/>
              </w:rPr>
              <w:t xml:space="preserve"> </w:t>
            </w:r>
            <w:r>
              <w:rPr>
                <w:rFonts w:ascii="Times New Roman" w:hAnsi="Times New Roman" w:eastAsia="仿宋_GB2312" w:cs="Times New Roman"/>
                <w:b/>
              </w:rPr>
              <w:t xml:space="preserve"> 10.31</w:t>
            </w:r>
            <w:r>
              <w:rPr>
                <w:rFonts w:hint="eastAsia" w:ascii="Times New Roman" w:hAnsi="Times New Roman" w:eastAsia="仿宋_GB2312"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430"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其他省学籍招生人数</w:t>
            </w:r>
          </w:p>
        </w:tc>
        <w:tc>
          <w:tcPr>
            <w:tcW w:w="1071" w:type="dxa"/>
            <w:vAlign w:val="center"/>
          </w:tcPr>
          <w:p>
            <w:pPr>
              <w:adjustRightInd w:val="0"/>
              <w:snapToGrid w:val="0"/>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8</w:t>
            </w:r>
          </w:p>
        </w:tc>
        <w:tc>
          <w:tcPr>
            <w:tcW w:w="937" w:type="dxa"/>
            <w:vAlign w:val="center"/>
          </w:tcPr>
          <w:p>
            <w:pPr>
              <w:adjustRightInd w:val="0"/>
              <w:snapToGrid w:val="0"/>
              <w:jc w:val="center"/>
              <w:rPr>
                <w:rFonts w:ascii="Times New Roman" w:hAnsi="Times New Roman" w:eastAsia="仿宋_GB2312" w:cs="Times New Roman"/>
                <w:b/>
                <w:szCs w:val="21"/>
              </w:rPr>
            </w:pPr>
            <w:r>
              <w:rPr>
                <w:rFonts w:hint="eastAsia" w:ascii="Times New Roman" w:hAnsi="Times New Roman" w:eastAsia="仿宋_GB2312" w:cs="Times New Roman"/>
                <w:b/>
                <w:szCs w:val="21"/>
              </w:rPr>
              <w:t>2</w:t>
            </w:r>
          </w:p>
        </w:tc>
        <w:tc>
          <w:tcPr>
            <w:tcW w:w="895"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rPr>
              <w:t>2.48</w:t>
            </w:r>
            <w:r>
              <w:rPr>
                <w:rFonts w:hint="eastAsia" w:ascii="Times New Roman" w:hAnsi="Times New Roman" w:eastAsia="仿宋_GB2312" w:cs="Times New Roman"/>
                <w:b/>
              </w:rPr>
              <w:t>%</w:t>
            </w:r>
          </w:p>
        </w:tc>
        <w:tc>
          <w:tcPr>
            <w:tcW w:w="993" w:type="dxa"/>
            <w:vAlign w:val="center"/>
          </w:tcPr>
          <w:p>
            <w:pPr>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rPr>
              <w:t>0.44</w:t>
            </w:r>
            <w:r>
              <w:rPr>
                <w:rFonts w:hint="eastAsia" w:ascii="Times New Roman" w:hAnsi="Times New Roman" w:eastAsia="仿宋_GB2312" w:cs="Times New Roman"/>
                <w:b/>
              </w:rPr>
              <w:t>%</w:t>
            </w:r>
          </w:p>
        </w:tc>
      </w:tr>
    </w:tbl>
    <w:p>
      <w:pPr>
        <w:tabs>
          <w:tab w:val="left" w:pos="1071"/>
        </w:tabs>
        <w:spacing w:line="580" w:lineRule="exact"/>
        <w:ind w:firstLine="1265" w:firstLineChars="600"/>
        <w:jc w:val="center"/>
        <w:rPr>
          <w:rFonts w:ascii="Times New Roman" w:hAnsi="Times New Roman" w:eastAsia="仿宋_GB2312" w:cs="Times New Roman"/>
          <w:b/>
          <w:szCs w:val="21"/>
        </w:rPr>
      </w:pPr>
      <w:r>
        <w:rPr>
          <w:rFonts w:ascii="Times New Roman" w:hAnsi="Times New Roman" w:eastAsia="仿宋_GB2312" w:cs="Times New Roman"/>
          <w:b/>
          <w:szCs w:val="21"/>
        </w:rPr>
        <w:t>表4 2020-2021年招生专业人数统计表</w:t>
      </w:r>
    </w:p>
    <w:tbl>
      <w:tblPr>
        <w:tblStyle w:val="9"/>
        <w:tblW w:w="5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1"/>
        <w:gridCol w:w="936"/>
        <w:gridCol w:w="936"/>
        <w:gridCol w:w="93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165" w:type="dxa"/>
            <w:gridSpan w:val="5"/>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1"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专业大类</w:t>
            </w:r>
          </w:p>
        </w:tc>
        <w:tc>
          <w:tcPr>
            <w:tcW w:w="1872"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人数（人）</w:t>
            </w:r>
          </w:p>
        </w:tc>
        <w:tc>
          <w:tcPr>
            <w:tcW w:w="1872"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1"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936"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936"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936"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936"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1" w:type="dxa"/>
            <w:vAlign w:val="center"/>
          </w:tcPr>
          <w:p>
            <w:pPr>
              <w:spacing w:line="300" w:lineRule="exact"/>
              <w:rPr>
                <w:rFonts w:ascii="Times New Roman" w:hAnsi="Times New Roman" w:eastAsia="仿宋_GB2312" w:cs="Times New Roman"/>
                <w:b/>
                <w:szCs w:val="21"/>
              </w:rPr>
            </w:pPr>
            <w:r>
              <w:rPr>
                <w:rFonts w:hint="eastAsia" w:ascii="Times New Roman" w:hAnsi="Times New Roman" w:eastAsia="仿宋_GB2312" w:cs="Times New Roman"/>
                <w:b/>
              </w:rPr>
              <w:t xml:space="preserve"> </w:t>
            </w:r>
            <w:r>
              <w:rPr>
                <w:rFonts w:ascii="Times New Roman" w:hAnsi="Times New Roman" w:eastAsia="仿宋_GB2312" w:cs="Times New Roman"/>
                <w:b/>
              </w:rPr>
              <w:t xml:space="preserve">  </w:t>
            </w:r>
            <w:r>
              <w:rPr>
                <w:rFonts w:hint="eastAsia" w:ascii="Times New Roman" w:hAnsi="Times New Roman" w:eastAsia="仿宋_GB2312" w:cs="Times New Roman"/>
                <w:b/>
              </w:rPr>
              <w:t>机械类</w:t>
            </w:r>
          </w:p>
        </w:tc>
        <w:tc>
          <w:tcPr>
            <w:tcW w:w="936"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6</w:t>
            </w:r>
            <w:r>
              <w:rPr>
                <w:rFonts w:ascii="Times New Roman" w:hAnsi="Times New Roman" w:eastAsia="仿宋_GB2312" w:cs="Times New Roman"/>
                <w:b/>
              </w:rPr>
              <w:t>3</w:t>
            </w:r>
          </w:p>
        </w:tc>
        <w:tc>
          <w:tcPr>
            <w:tcW w:w="936"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7</w:t>
            </w:r>
            <w:r>
              <w:rPr>
                <w:rFonts w:ascii="Times New Roman" w:hAnsi="Times New Roman" w:eastAsia="仿宋_GB2312" w:cs="Times New Roman"/>
                <w:b/>
              </w:rPr>
              <w:t>6</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19.50</w:t>
            </w:r>
            <w:r>
              <w:rPr>
                <w:rFonts w:hint="eastAsia" w:ascii="Times New Roman" w:hAnsi="Times New Roman" w:eastAsia="仿宋_GB2312" w:cs="Times New Roman"/>
                <w:b/>
              </w:rPr>
              <w:t>%</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16.67</w:t>
            </w:r>
            <w:r>
              <w:rPr>
                <w:rFonts w:hint="eastAsia" w:ascii="Times New Roman" w:hAnsi="Times New Roman" w:eastAsia="仿宋_GB2312"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1"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电工电子类</w:t>
            </w:r>
          </w:p>
        </w:tc>
        <w:tc>
          <w:tcPr>
            <w:tcW w:w="936"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2</w:t>
            </w:r>
            <w:r>
              <w:rPr>
                <w:rFonts w:ascii="Times New Roman" w:hAnsi="Times New Roman" w:eastAsia="仿宋_GB2312" w:cs="Times New Roman"/>
                <w:b/>
              </w:rPr>
              <w:t>3</w:t>
            </w:r>
          </w:p>
        </w:tc>
        <w:tc>
          <w:tcPr>
            <w:tcW w:w="936"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1</w:t>
            </w:r>
            <w:r>
              <w:rPr>
                <w:rFonts w:ascii="Times New Roman" w:hAnsi="Times New Roman" w:eastAsia="仿宋_GB2312" w:cs="Times New Roman"/>
                <w:b/>
              </w:rPr>
              <w:t>7</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7.12</w:t>
            </w:r>
            <w:r>
              <w:rPr>
                <w:rFonts w:hint="eastAsia" w:ascii="Times New Roman" w:hAnsi="Times New Roman" w:eastAsia="仿宋_GB2312" w:cs="Times New Roman"/>
                <w:b/>
              </w:rPr>
              <w:t>%</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3.73</w:t>
            </w:r>
            <w:r>
              <w:rPr>
                <w:rFonts w:hint="eastAsia" w:ascii="Times New Roman" w:hAnsi="Times New Roman" w:eastAsia="仿宋_GB2312"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1"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信息类</w:t>
            </w:r>
          </w:p>
        </w:tc>
        <w:tc>
          <w:tcPr>
            <w:tcW w:w="936"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3</w:t>
            </w:r>
            <w:r>
              <w:rPr>
                <w:rFonts w:ascii="Times New Roman" w:hAnsi="Times New Roman" w:eastAsia="仿宋_GB2312" w:cs="Times New Roman"/>
                <w:b/>
              </w:rPr>
              <w:t>2</w:t>
            </w:r>
          </w:p>
        </w:tc>
        <w:tc>
          <w:tcPr>
            <w:tcW w:w="936"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3</w:t>
            </w:r>
            <w:r>
              <w:rPr>
                <w:rFonts w:ascii="Times New Roman" w:hAnsi="Times New Roman" w:eastAsia="仿宋_GB2312" w:cs="Times New Roman"/>
                <w:b/>
              </w:rPr>
              <w:t>9</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9.91</w:t>
            </w:r>
            <w:r>
              <w:rPr>
                <w:rFonts w:hint="eastAsia" w:ascii="Times New Roman" w:hAnsi="Times New Roman" w:eastAsia="仿宋_GB2312" w:cs="Times New Roman"/>
                <w:b/>
              </w:rPr>
              <w:t>%</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8.55</w:t>
            </w:r>
            <w:r>
              <w:rPr>
                <w:rFonts w:hint="eastAsia" w:ascii="Times New Roman" w:hAnsi="Times New Roman" w:eastAsia="仿宋_GB2312"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1" w:type="dxa"/>
            <w:vAlign w:val="center"/>
          </w:tcPr>
          <w:p>
            <w:pPr>
              <w:spacing w:line="300" w:lineRule="exact"/>
              <w:jc w:val="center"/>
              <w:rPr>
                <w:rFonts w:ascii="Times New Roman" w:hAnsi="Times New Roman" w:eastAsia="仿宋_GB2312" w:cs="Times New Roman"/>
                <w:b/>
              </w:rPr>
            </w:pPr>
            <w:r>
              <w:rPr>
                <w:rFonts w:hint="eastAsia" w:ascii="Times New Roman" w:hAnsi="Times New Roman" w:eastAsia="仿宋_GB2312" w:cs="Times New Roman"/>
                <w:b/>
              </w:rPr>
              <w:t>交通类</w:t>
            </w:r>
          </w:p>
        </w:tc>
        <w:tc>
          <w:tcPr>
            <w:tcW w:w="936" w:type="dxa"/>
            <w:vAlign w:val="center"/>
          </w:tcPr>
          <w:p>
            <w:pPr>
              <w:spacing w:line="300" w:lineRule="exact"/>
              <w:jc w:val="center"/>
              <w:rPr>
                <w:rFonts w:ascii="Times New Roman" w:hAnsi="Times New Roman" w:eastAsia="仿宋_GB2312" w:cs="Times New Roman"/>
                <w:sz w:val="32"/>
              </w:rPr>
            </w:pPr>
            <w:r>
              <w:rPr>
                <w:rFonts w:ascii="Times New Roman" w:hAnsi="Times New Roman" w:eastAsia="仿宋_GB2312" w:cs="Times New Roman"/>
                <w:b/>
              </w:rPr>
              <w:t>97</w:t>
            </w:r>
          </w:p>
        </w:tc>
        <w:tc>
          <w:tcPr>
            <w:tcW w:w="936" w:type="dxa"/>
            <w:vAlign w:val="center"/>
          </w:tcPr>
          <w:p>
            <w:pPr>
              <w:spacing w:line="300" w:lineRule="exact"/>
              <w:jc w:val="center"/>
              <w:rPr>
                <w:rFonts w:ascii="Times New Roman" w:hAnsi="Times New Roman" w:eastAsia="仿宋_GB2312" w:cs="Times New Roman"/>
                <w:sz w:val="32"/>
              </w:rPr>
            </w:pPr>
            <w:r>
              <w:rPr>
                <w:rFonts w:hint="eastAsia" w:ascii="Times New Roman" w:hAnsi="Times New Roman" w:eastAsia="仿宋_GB2312" w:cs="Times New Roman"/>
                <w:b/>
              </w:rPr>
              <w:t>1</w:t>
            </w:r>
            <w:r>
              <w:rPr>
                <w:rFonts w:ascii="Times New Roman" w:hAnsi="Times New Roman" w:eastAsia="仿宋_GB2312" w:cs="Times New Roman"/>
                <w:b/>
              </w:rPr>
              <w:t>50</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30.03</w:t>
            </w:r>
            <w:r>
              <w:rPr>
                <w:rFonts w:hint="eastAsia" w:ascii="Times New Roman" w:hAnsi="Times New Roman" w:eastAsia="仿宋_GB2312" w:cs="Times New Roman"/>
                <w:b/>
              </w:rPr>
              <w:t>%</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32.89</w:t>
            </w:r>
            <w:r>
              <w:rPr>
                <w:rFonts w:hint="eastAsia" w:ascii="Times New Roman" w:hAnsi="Times New Roman" w:eastAsia="仿宋_GB2312"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1"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服务类</w:t>
            </w:r>
          </w:p>
        </w:tc>
        <w:tc>
          <w:tcPr>
            <w:tcW w:w="936"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3</w:t>
            </w:r>
            <w:r>
              <w:rPr>
                <w:rFonts w:ascii="Times New Roman" w:hAnsi="Times New Roman" w:eastAsia="仿宋_GB2312" w:cs="Times New Roman"/>
                <w:b/>
              </w:rPr>
              <w:t>0</w:t>
            </w:r>
          </w:p>
        </w:tc>
        <w:tc>
          <w:tcPr>
            <w:tcW w:w="936" w:type="dxa"/>
            <w:vAlign w:val="center"/>
          </w:tcPr>
          <w:p>
            <w:pPr>
              <w:spacing w:line="300" w:lineRule="exact"/>
              <w:jc w:val="center"/>
              <w:rPr>
                <w:rFonts w:ascii="Times New Roman" w:hAnsi="Times New Roman" w:eastAsia="仿宋_GB2312" w:cs="Times New Roman"/>
                <w:b/>
                <w:szCs w:val="21"/>
              </w:rPr>
            </w:pPr>
            <w:r>
              <w:rPr>
                <w:rFonts w:hint="eastAsia" w:ascii="Times New Roman" w:hAnsi="Times New Roman" w:eastAsia="仿宋_GB2312" w:cs="Times New Roman"/>
                <w:b/>
              </w:rPr>
              <w:t>5</w:t>
            </w:r>
            <w:r>
              <w:rPr>
                <w:rFonts w:ascii="Times New Roman" w:hAnsi="Times New Roman" w:eastAsia="仿宋_GB2312" w:cs="Times New Roman"/>
                <w:b/>
              </w:rPr>
              <w:t>2</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9.29</w:t>
            </w:r>
            <w:r>
              <w:rPr>
                <w:rFonts w:hint="eastAsia" w:ascii="Times New Roman" w:hAnsi="Times New Roman" w:eastAsia="仿宋_GB2312" w:cs="Times New Roman"/>
                <w:b/>
              </w:rPr>
              <w:t>%</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11.40</w:t>
            </w:r>
            <w:r>
              <w:rPr>
                <w:rFonts w:hint="eastAsia" w:ascii="Times New Roman" w:hAnsi="Times New Roman" w:eastAsia="仿宋_GB2312"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1" w:type="dxa"/>
            <w:vAlign w:val="center"/>
          </w:tcPr>
          <w:p>
            <w:pPr>
              <w:spacing w:line="300" w:lineRule="exact"/>
              <w:jc w:val="center"/>
              <w:rPr>
                <w:rFonts w:ascii="Times New Roman" w:hAnsi="Times New Roman" w:eastAsia="仿宋_GB2312" w:cs="Times New Roman"/>
                <w:b/>
              </w:rPr>
            </w:pPr>
            <w:r>
              <w:rPr>
                <w:rFonts w:hint="eastAsia" w:ascii="Times New Roman" w:hAnsi="Times New Roman" w:eastAsia="仿宋_GB2312" w:cs="Times New Roman"/>
                <w:b/>
              </w:rPr>
              <w:t>财经商贸类</w:t>
            </w:r>
          </w:p>
        </w:tc>
        <w:tc>
          <w:tcPr>
            <w:tcW w:w="936" w:type="dxa"/>
            <w:vAlign w:val="center"/>
          </w:tcPr>
          <w:p>
            <w:pPr>
              <w:spacing w:line="300" w:lineRule="exact"/>
              <w:jc w:val="center"/>
              <w:rPr>
                <w:rFonts w:ascii="Times New Roman" w:hAnsi="Times New Roman" w:eastAsia="仿宋_GB2312" w:cs="Times New Roman"/>
                <w:sz w:val="32"/>
              </w:rPr>
            </w:pPr>
            <w:r>
              <w:rPr>
                <w:rFonts w:ascii="Times New Roman" w:hAnsi="Times New Roman" w:eastAsia="仿宋_GB2312" w:cs="Times New Roman"/>
                <w:b/>
              </w:rPr>
              <w:t>21</w:t>
            </w:r>
          </w:p>
        </w:tc>
        <w:tc>
          <w:tcPr>
            <w:tcW w:w="936" w:type="dxa"/>
            <w:vAlign w:val="center"/>
          </w:tcPr>
          <w:p>
            <w:pPr>
              <w:spacing w:line="300" w:lineRule="exact"/>
              <w:jc w:val="center"/>
              <w:rPr>
                <w:rFonts w:ascii="Times New Roman" w:hAnsi="Times New Roman" w:eastAsia="仿宋_GB2312" w:cs="Times New Roman"/>
                <w:sz w:val="32"/>
              </w:rPr>
            </w:pPr>
            <w:r>
              <w:rPr>
                <w:rFonts w:hint="eastAsia" w:ascii="Times New Roman" w:hAnsi="Times New Roman" w:eastAsia="仿宋_GB2312" w:cs="Times New Roman"/>
                <w:b/>
              </w:rPr>
              <w:t>3</w:t>
            </w:r>
            <w:r>
              <w:rPr>
                <w:rFonts w:ascii="Times New Roman" w:hAnsi="Times New Roman" w:eastAsia="仿宋_GB2312" w:cs="Times New Roman"/>
                <w:b/>
              </w:rPr>
              <w:t>6</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6.50</w:t>
            </w:r>
            <w:r>
              <w:rPr>
                <w:rFonts w:hint="eastAsia" w:ascii="Times New Roman" w:hAnsi="Times New Roman" w:eastAsia="仿宋_GB2312" w:cs="Times New Roman"/>
                <w:b/>
              </w:rPr>
              <w:t>%</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7.89</w:t>
            </w:r>
            <w:r>
              <w:rPr>
                <w:rFonts w:hint="eastAsia" w:ascii="Times New Roman" w:hAnsi="Times New Roman" w:eastAsia="仿宋_GB2312"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1" w:type="dxa"/>
            <w:vAlign w:val="center"/>
          </w:tcPr>
          <w:p>
            <w:pPr>
              <w:spacing w:line="300" w:lineRule="exact"/>
              <w:jc w:val="center"/>
              <w:rPr>
                <w:rFonts w:ascii="Times New Roman" w:hAnsi="Times New Roman" w:eastAsia="仿宋_GB2312" w:cs="Times New Roman"/>
                <w:b/>
              </w:rPr>
            </w:pPr>
            <w:r>
              <w:rPr>
                <w:rFonts w:hint="eastAsia" w:ascii="Times New Roman" w:hAnsi="Times New Roman" w:eastAsia="仿宋_GB2312" w:cs="Times New Roman"/>
                <w:b/>
              </w:rPr>
              <w:t>其他</w:t>
            </w:r>
          </w:p>
        </w:tc>
        <w:tc>
          <w:tcPr>
            <w:tcW w:w="936" w:type="dxa"/>
            <w:vAlign w:val="center"/>
          </w:tcPr>
          <w:p>
            <w:pPr>
              <w:spacing w:line="300" w:lineRule="exact"/>
              <w:jc w:val="center"/>
              <w:rPr>
                <w:rFonts w:ascii="Times New Roman" w:hAnsi="Times New Roman" w:eastAsia="仿宋_GB2312" w:cs="Times New Roman"/>
                <w:sz w:val="32"/>
              </w:rPr>
            </w:pPr>
            <w:r>
              <w:rPr>
                <w:rFonts w:hint="eastAsia" w:ascii="Times New Roman" w:hAnsi="Times New Roman" w:eastAsia="仿宋_GB2312" w:cs="Times New Roman"/>
                <w:b/>
              </w:rPr>
              <w:t>5</w:t>
            </w:r>
            <w:r>
              <w:rPr>
                <w:rFonts w:ascii="Times New Roman" w:hAnsi="Times New Roman" w:eastAsia="仿宋_GB2312" w:cs="Times New Roman"/>
                <w:b/>
              </w:rPr>
              <w:t>7</w:t>
            </w:r>
          </w:p>
        </w:tc>
        <w:tc>
          <w:tcPr>
            <w:tcW w:w="936" w:type="dxa"/>
            <w:vAlign w:val="center"/>
          </w:tcPr>
          <w:p>
            <w:pPr>
              <w:spacing w:line="300" w:lineRule="exact"/>
              <w:jc w:val="center"/>
              <w:rPr>
                <w:rFonts w:ascii="Times New Roman" w:hAnsi="Times New Roman" w:eastAsia="仿宋_GB2312" w:cs="Times New Roman"/>
                <w:sz w:val="32"/>
              </w:rPr>
            </w:pPr>
            <w:r>
              <w:rPr>
                <w:rFonts w:hint="eastAsia" w:ascii="Times New Roman" w:hAnsi="Times New Roman" w:eastAsia="仿宋_GB2312" w:cs="Times New Roman"/>
                <w:b/>
              </w:rPr>
              <w:t>8</w:t>
            </w:r>
            <w:r>
              <w:rPr>
                <w:rFonts w:ascii="Times New Roman" w:hAnsi="Times New Roman" w:eastAsia="仿宋_GB2312" w:cs="Times New Roman"/>
                <w:b/>
              </w:rPr>
              <w:t>6</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17.65</w:t>
            </w:r>
            <w:r>
              <w:rPr>
                <w:rFonts w:hint="eastAsia" w:ascii="Times New Roman" w:hAnsi="Times New Roman" w:eastAsia="仿宋_GB2312" w:cs="Times New Roman"/>
                <w:b/>
              </w:rPr>
              <w:t>%</w:t>
            </w:r>
          </w:p>
        </w:tc>
        <w:tc>
          <w:tcPr>
            <w:tcW w:w="936" w:type="dxa"/>
            <w:vAlign w:val="center"/>
          </w:tcPr>
          <w:p>
            <w:pPr>
              <w:spacing w:line="300" w:lineRule="exact"/>
              <w:jc w:val="center"/>
              <w:rPr>
                <w:rFonts w:ascii="Times New Roman" w:hAnsi="Times New Roman" w:eastAsia="仿宋_GB2312" w:cs="Times New Roman"/>
                <w:b/>
              </w:rPr>
            </w:pPr>
            <w:r>
              <w:rPr>
                <w:rFonts w:ascii="Times New Roman" w:hAnsi="Times New Roman" w:eastAsia="仿宋_GB2312" w:cs="Times New Roman"/>
                <w:b/>
              </w:rPr>
              <w:t>18.86</w:t>
            </w:r>
            <w:r>
              <w:rPr>
                <w:rFonts w:hint="eastAsia" w:ascii="Times New Roman" w:hAnsi="Times New Roman" w:eastAsia="仿宋_GB2312" w:cs="Times New Roman"/>
                <w:b/>
              </w:rPr>
              <w:t>%</w:t>
            </w:r>
          </w:p>
        </w:tc>
      </w:tr>
    </w:tbl>
    <w:p>
      <w:pPr>
        <w:tabs>
          <w:tab w:val="left" w:pos="1071"/>
        </w:tabs>
        <w:spacing w:line="580" w:lineRule="exact"/>
        <w:ind w:firstLine="643" w:firstLineChars="200"/>
        <w:rPr>
          <w:rFonts w:hint="eastAsia" w:ascii="Times New Roman" w:hAnsi="Times New Roman" w:eastAsia="仿宋_GB2312" w:cs="Times New Roman"/>
          <w:b/>
          <w:sz w:val="32"/>
          <w:lang w:eastAsia="zh-CN"/>
        </w:rPr>
      </w:pPr>
      <w:r>
        <w:rPr>
          <w:rFonts w:ascii="Times New Roman" w:hAnsi="Times New Roman" w:eastAsia="仿宋_GB2312" w:cs="Times New Roman"/>
          <w:b/>
          <w:sz w:val="32"/>
        </w:rPr>
        <w:t>2.在校生规模</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在校生人数</w:t>
      </w:r>
      <w:r>
        <w:rPr>
          <w:rFonts w:hint="eastAsia" w:ascii="Times New Roman" w:hAnsi="Times New Roman" w:eastAsia="仿宋_GB2312" w:cs="Times New Roman"/>
          <w:sz w:val="32"/>
        </w:rPr>
        <w:t>2020年1357人，2021年1333人；2020学年学生</w:t>
      </w:r>
      <w:r>
        <w:rPr>
          <w:rFonts w:ascii="Times New Roman" w:hAnsi="Times New Roman" w:eastAsia="仿宋_GB2312" w:cs="Times New Roman"/>
          <w:sz w:val="32"/>
        </w:rPr>
        <w:t>学籍异动</w:t>
      </w:r>
      <w:r>
        <w:rPr>
          <w:rFonts w:hint="eastAsia" w:ascii="Times New Roman" w:hAnsi="Times New Roman" w:eastAsia="仿宋_GB2312" w:cs="Times New Roman"/>
          <w:sz w:val="32"/>
        </w:rPr>
        <w:t>55人，2021学年学籍异动46人；学校2020学年稳定率为95.95%，2021学年学生稳定率为96.55%。</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表5 2020-2021年在校生人数统计表</w:t>
      </w:r>
    </w:p>
    <w:tbl>
      <w:tblPr>
        <w:tblStyle w:val="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30"/>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4260"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学制教育在校生人数（人）</w:t>
            </w:r>
          </w:p>
        </w:tc>
        <w:tc>
          <w:tcPr>
            <w:tcW w:w="4260"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非全日制注册学生人数（人）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2130"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2130"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2130"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2130"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130" w:type="dxa"/>
            <w:vAlign w:val="center"/>
          </w:tcPr>
          <w:p>
            <w:pPr>
              <w:spacing w:line="300" w:lineRule="exact"/>
              <w:jc w:val="center"/>
              <w:rPr>
                <w:rFonts w:ascii="Times New Roman" w:hAnsi="Times New Roman" w:eastAsia="仿宋_GB2312" w:cs="Times New Roman"/>
                <w:bCs/>
                <w:szCs w:val="21"/>
              </w:rPr>
            </w:pPr>
            <w:r>
              <w:rPr>
                <w:rFonts w:hint="eastAsia" w:ascii="仿宋" w:hAnsi="仿宋" w:eastAsia="仿宋" w:cs="仿宋"/>
                <w:bCs/>
                <w:szCs w:val="21"/>
              </w:rPr>
              <w:t>1357</w:t>
            </w:r>
          </w:p>
        </w:tc>
        <w:tc>
          <w:tcPr>
            <w:tcW w:w="2130"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1333</w:t>
            </w:r>
          </w:p>
        </w:tc>
        <w:tc>
          <w:tcPr>
            <w:tcW w:w="2130"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224</w:t>
            </w:r>
          </w:p>
        </w:tc>
        <w:tc>
          <w:tcPr>
            <w:tcW w:w="2130" w:type="dxa"/>
            <w:vAlign w:val="center"/>
          </w:tcPr>
          <w:p>
            <w:pPr>
              <w:spacing w:line="300" w:lineRule="exact"/>
              <w:jc w:val="center"/>
              <w:rPr>
                <w:rFonts w:ascii="Times New Roman" w:hAnsi="Times New Roman" w:eastAsia="仿宋_GB2312" w:cs="Times New Roman"/>
                <w:bCs/>
                <w:szCs w:val="21"/>
              </w:rPr>
            </w:pPr>
            <w:r>
              <w:rPr>
                <w:rFonts w:hint="eastAsia" w:ascii="仿宋" w:hAnsi="仿宋" w:eastAsia="仿宋" w:cs="仿宋"/>
                <w:bCs/>
                <w:szCs w:val="21"/>
              </w:rPr>
              <w:t>0</w:t>
            </w:r>
          </w:p>
        </w:tc>
      </w:tr>
    </w:tbl>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表6 2020-2021年各专业在校生人数统计表</w:t>
      </w:r>
    </w:p>
    <w:tbl>
      <w:tblPr>
        <w:tblStyle w:val="9"/>
        <w:tblW w:w="6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1"/>
        <w:gridCol w:w="2625"/>
        <w:gridCol w:w="525"/>
        <w:gridCol w:w="775"/>
        <w:gridCol w:w="993"/>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1141"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专业大类</w:t>
            </w:r>
          </w:p>
        </w:tc>
        <w:tc>
          <w:tcPr>
            <w:tcW w:w="2625"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专业名称</w:t>
            </w:r>
          </w:p>
        </w:tc>
        <w:tc>
          <w:tcPr>
            <w:tcW w:w="1300"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人数（人）</w:t>
            </w:r>
          </w:p>
        </w:tc>
        <w:tc>
          <w:tcPr>
            <w:tcW w:w="1815"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1"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2625" w:type="dxa"/>
            <w:vMerge w:val="continue"/>
          </w:tcPr>
          <w:p>
            <w:pPr>
              <w:tabs>
                <w:tab w:val="left" w:pos="1071"/>
              </w:tabs>
              <w:spacing w:line="300" w:lineRule="exact"/>
              <w:jc w:val="center"/>
              <w:rPr>
                <w:rFonts w:ascii="Times New Roman" w:hAnsi="Times New Roman" w:eastAsia="仿宋_GB2312" w:cs="Times New Roman"/>
                <w:b/>
                <w:szCs w:val="21"/>
              </w:rPr>
            </w:pPr>
          </w:p>
        </w:tc>
        <w:tc>
          <w:tcPr>
            <w:tcW w:w="52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77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99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82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1141"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财经商贸类</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电子商务</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81</w:t>
            </w:r>
          </w:p>
        </w:tc>
        <w:tc>
          <w:tcPr>
            <w:tcW w:w="77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74</w:t>
            </w:r>
          </w:p>
        </w:tc>
        <w:tc>
          <w:tcPr>
            <w:tcW w:w="993" w:type="dxa"/>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5.97%</w:t>
            </w:r>
          </w:p>
        </w:tc>
        <w:tc>
          <w:tcPr>
            <w:tcW w:w="822" w:type="dxa"/>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141" w:type="dxa"/>
            <w:vAlign w:val="center"/>
          </w:tcPr>
          <w:p>
            <w:pPr>
              <w:widowControl/>
              <w:jc w:val="center"/>
              <w:textAlignment w:val="bottom"/>
              <w:rPr>
                <w:rFonts w:ascii="仿宋" w:hAnsi="仿宋" w:eastAsia="仿宋" w:cs="仿宋"/>
                <w:bCs/>
                <w:szCs w:val="21"/>
              </w:rPr>
            </w:pPr>
            <w:r>
              <w:rPr>
                <w:rFonts w:hint="eastAsia" w:ascii="仿宋" w:hAnsi="仿宋" w:eastAsia="仿宋" w:cs="仿宋"/>
                <w:bCs/>
                <w:kern w:val="0"/>
                <w:szCs w:val="21"/>
              </w:rPr>
              <w:t>电工电子类</w:t>
            </w:r>
          </w:p>
        </w:tc>
        <w:tc>
          <w:tcPr>
            <w:tcW w:w="2625" w:type="dxa"/>
            <w:vAlign w:val="center"/>
          </w:tcPr>
          <w:p>
            <w:pPr>
              <w:widowControl/>
              <w:jc w:val="center"/>
              <w:textAlignment w:val="bottom"/>
              <w:rPr>
                <w:rFonts w:ascii="仿宋" w:hAnsi="仿宋" w:eastAsia="仿宋" w:cs="仿宋"/>
                <w:bCs/>
                <w:szCs w:val="21"/>
              </w:rPr>
            </w:pPr>
            <w:r>
              <w:rPr>
                <w:rFonts w:hint="eastAsia" w:ascii="仿宋" w:hAnsi="仿宋" w:eastAsia="仿宋" w:cs="仿宋"/>
                <w:bCs/>
                <w:kern w:val="0"/>
                <w:szCs w:val="21"/>
              </w:rPr>
              <w:t>电气自动化设备安装与维修</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43</w:t>
            </w:r>
          </w:p>
        </w:tc>
        <w:tc>
          <w:tcPr>
            <w:tcW w:w="77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44</w:t>
            </w:r>
          </w:p>
        </w:tc>
        <w:tc>
          <w:tcPr>
            <w:tcW w:w="993" w:type="dxa"/>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3.17%</w:t>
            </w:r>
          </w:p>
        </w:tc>
        <w:tc>
          <w:tcPr>
            <w:tcW w:w="822" w:type="dxa"/>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141" w:type="dxa"/>
            <w:vAlign w:val="center"/>
          </w:tcPr>
          <w:p>
            <w:pPr>
              <w:spacing w:line="300" w:lineRule="exact"/>
              <w:jc w:val="center"/>
              <w:rPr>
                <w:rFonts w:ascii="仿宋" w:hAnsi="仿宋" w:eastAsia="仿宋" w:cs="仿宋"/>
                <w:bCs/>
                <w:szCs w:val="21"/>
              </w:rPr>
            </w:pPr>
            <w:r>
              <w:rPr>
                <w:rFonts w:hint="eastAsia" w:ascii="仿宋" w:hAnsi="仿宋" w:eastAsia="仿宋" w:cs="仿宋"/>
                <w:bCs/>
                <w:kern w:val="0"/>
                <w:szCs w:val="21"/>
              </w:rPr>
              <w:t>电工电子类</w:t>
            </w:r>
          </w:p>
        </w:tc>
        <w:tc>
          <w:tcPr>
            <w:tcW w:w="2625" w:type="dxa"/>
            <w:vAlign w:val="center"/>
          </w:tcPr>
          <w:p>
            <w:pPr>
              <w:widowControl/>
              <w:jc w:val="center"/>
              <w:textAlignment w:val="bottom"/>
              <w:rPr>
                <w:rFonts w:ascii="仿宋" w:hAnsi="仿宋" w:eastAsia="仿宋" w:cs="仿宋"/>
                <w:bCs/>
                <w:szCs w:val="21"/>
              </w:rPr>
            </w:pPr>
            <w:r>
              <w:rPr>
                <w:rFonts w:hint="eastAsia" w:ascii="仿宋" w:hAnsi="仿宋" w:eastAsia="仿宋" w:cs="仿宋"/>
                <w:bCs/>
                <w:kern w:val="0"/>
                <w:szCs w:val="21"/>
              </w:rPr>
              <w:t>电子技术应用</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33</w:t>
            </w:r>
          </w:p>
        </w:tc>
        <w:tc>
          <w:tcPr>
            <w:tcW w:w="77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36</w:t>
            </w:r>
          </w:p>
        </w:tc>
        <w:tc>
          <w:tcPr>
            <w:tcW w:w="993" w:type="dxa"/>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2.43%</w:t>
            </w:r>
          </w:p>
        </w:tc>
        <w:tc>
          <w:tcPr>
            <w:tcW w:w="822" w:type="dxa"/>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kern w:val="0"/>
                <w:szCs w:val="21"/>
              </w:rPr>
              <w:t>电工电子类</w:t>
            </w:r>
          </w:p>
        </w:tc>
        <w:tc>
          <w:tcPr>
            <w:tcW w:w="2625" w:type="dxa"/>
            <w:vAlign w:val="center"/>
          </w:tcPr>
          <w:p>
            <w:pPr>
              <w:widowControl/>
              <w:jc w:val="center"/>
              <w:textAlignment w:val="bottom"/>
              <w:rPr>
                <w:rFonts w:ascii="仿宋" w:hAnsi="仿宋" w:eastAsia="仿宋" w:cs="仿宋"/>
                <w:bCs/>
                <w:szCs w:val="21"/>
              </w:rPr>
            </w:pPr>
            <w:r>
              <w:rPr>
                <w:rFonts w:hint="eastAsia" w:ascii="仿宋" w:hAnsi="仿宋" w:eastAsia="仿宋" w:cs="仿宋"/>
                <w:bCs/>
                <w:kern w:val="0"/>
                <w:szCs w:val="21"/>
              </w:rPr>
              <w:t>楼宇自动控制设备安装与维护</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13</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11</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0.96%</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服务类</w:t>
            </w:r>
          </w:p>
        </w:tc>
        <w:tc>
          <w:tcPr>
            <w:tcW w:w="2625" w:type="dxa"/>
            <w:vAlign w:val="center"/>
          </w:tcPr>
          <w:p>
            <w:pPr>
              <w:widowControl/>
              <w:jc w:val="center"/>
              <w:textAlignment w:val="bottom"/>
              <w:rPr>
                <w:rFonts w:ascii="仿宋" w:hAnsi="仿宋" w:eastAsia="仿宋" w:cs="仿宋"/>
                <w:bCs/>
                <w:szCs w:val="21"/>
              </w:rPr>
            </w:pPr>
            <w:r>
              <w:rPr>
                <w:rFonts w:hint="eastAsia" w:ascii="仿宋" w:hAnsi="仿宋" w:eastAsia="仿宋" w:cs="仿宋"/>
                <w:bCs/>
                <w:szCs w:val="21"/>
              </w:rPr>
              <w:t>饭店（酒店）服务</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19</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19</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1.40%</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服务类</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烹饪</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112</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108</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8.25%</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机械类</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机电一体化技术</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34</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38</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2.51%</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机械类</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数控加工</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110</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108</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8.11%</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机械类</w:t>
            </w:r>
          </w:p>
        </w:tc>
        <w:tc>
          <w:tcPr>
            <w:tcW w:w="2625" w:type="dxa"/>
            <w:vAlign w:val="bottom"/>
          </w:tcPr>
          <w:p>
            <w:pPr>
              <w:widowControl/>
              <w:jc w:val="center"/>
              <w:textAlignment w:val="bottom"/>
              <w:rPr>
                <w:rFonts w:ascii="仿宋" w:hAnsi="仿宋" w:eastAsia="仿宋" w:cs="仿宋"/>
                <w:szCs w:val="21"/>
              </w:rPr>
            </w:pPr>
            <w:r>
              <w:rPr>
                <w:rFonts w:hint="eastAsia" w:ascii="仿宋" w:hAnsi="仿宋" w:eastAsia="仿宋" w:cs="仿宋"/>
                <w:kern w:val="0"/>
                <w:szCs w:val="21"/>
              </w:rPr>
              <w:t>焊接加工</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73</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73</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5.38%</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机械类</w:t>
            </w:r>
          </w:p>
        </w:tc>
        <w:tc>
          <w:tcPr>
            <w:tcW w:w="2625" w:type="dxa"/>
            <w:vAlign w:val="bottom"/>
          </w:tcPr>
          <w:p>
            <w:pPr>
              <w:widowControl/>
              <w:jc w:val="center"/>
              <w:textAlignment w:val="bottom"/>
              <w:rPr>
                <w:rFonts w:ascii="仿宋" w:hAnsi="仿宋" w:eastAsia="仿宋" w:cs="仿宋"/>
                <w:szCs w:val="21"/>
              </w:rPr>
            </w:pPr>
            <w:r>
              <w:rPr>
                <w:rFonts w:hint="eastAsia" w:ascii="仿宋" w:hAnsi="仿宋" w:eastAsia="仿宋" w:cs="仿宋"/>
                <w:kern w:val="0"/>
                <w:szCs w:val="21"/>
              </w:rPr>
              <w:t>机床切削加工</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128</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128</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9.43%</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交通类</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交通客运服务</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49</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49</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3.61%</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交通类</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汽车驾驶</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23</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23</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1.69%</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交通类</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汽车维修</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384</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372</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28.30%</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27.91%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其他</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幼儿教育</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152</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146</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11.20%</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信息类</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计算机网络应用</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83</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85</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6.12%</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0" w:type="auto"/>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信息类</w:t>
            </w:r>
          </w:p>
        </w:tc>
        <w:tc>
          <w:tcPr>
            <w:tcW w:w="2625" w:type="dxa"/>
            <w:vAlign w:val="center"/>
          </w:tcPr>
          <w:p>
            <w:pPr>
              <w:spacing w:line="300" w:lineRule="exact"/>
              <w:jc w:val="center"/>
              <w:rPr>
                <w:rFonts w:ascii="仿宋" w:hAnsi="仿宋" w:eastAsia="仿宋" w:cs="仿宋"/>
                <w:bCs/>
                <w:szCs w:val="21"/>
              </w:rPr>
            </w:pPr>
            <w:r>
              <w:rPr>
                <w:rFonts w:hint="eastAsia" w:ascii="仿宋" w:hAnsi="仿宋" w:eastAsia="仿宋" w:cs="仿宋"/>
                <w:bCs/>
                <w:szCs w:val="21"/>
              </w:rPr>
              <w:t>计算机应用与维修</w:t>
            </w:r>
          </w:p>
        </w:tc>
        <w:tc>
          <w:tcPr>
            <w:tcW w:w="525" w:type="dxa"/>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20</w:t>
            </w:r>
          </w:p>
        </w:tc>
        <w:tc>
          <w:tcPr>
            <w:tcW w:w="0" w:type="auto"/>
            <w:vAlign w:val="center"/>
          </w:tcPr>
          <w:p>
            <w:pPr>
              <w:spacing w:line="300" w:lineRule="exact"/>
              <w:jc w:val="center"/>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19</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1.47%</w:t>
            </w:r>
          </w:p>
        </w:tc>
        <w:tc>
          <w:tcPr>
            <w:tcW w:w="0" w:type="auto"/>
            <w:vAlign w:val="bottom"/>
          </w:tcPr>
          <w:p>
            <w:pPr>
              <w:widowControl/>
              <w:jc w:val="center"/>
              <w:textAlignment w:val="bottom"/>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1.43%</w:t>
            </w:r>
          </w:p>
        </w:tc>
      </w:tr>
    </w:tbl>
    <w:p>
      <w:pPr>
        <w:tabs>
          <w:tab w:val="left" w:pos="1071"/>
        </w:tabs>
        <w:spacing w:line="580" w:lineRule="exact"/>
        <w:ind w:firstLine="321" w:firstLineChars="100"/>
        <w:rPr>
          <w:rFonts w:hint="eastAsia" w:ascii="Times New Roman" w:hAnsi="Times New Roman" w:eastAsia="仿宋_GB2312" w:cs="Times New Roman"/>
          <w:b/>
          <w:color w:val="FF0000"/>
          <w:sz w:val="32"/>
          <w:lang w:eastAsia="zh-CN"/>
        </w:rPr>
      </w:pPr>
      <w:r>
        <w:rPr>
          <w:rFonts w:ascii="Times New Roman" w:hAnsi="Times New Roman" w:eastAsia="仿宋_GB2312" w:cs="Times New Roman"/>
          <w:b/>
          <w:sz w:val="32"/>
        </w:rPr>
        <w:t>3.毕业生规模</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表7 2020-2021年毕业生人数统计表</w:t>
      </w:r>
    </w:p>
    <w:tbl>
      <w:tblPr>
        <w:tblStyle w:val="9"/>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2"/>
        <w:gridCol w:w="1066"/>
        <w:gridCol w:w="989"/>
        <w:gridCol w:w="1353"/>
        <w:gridCol w:w="1278"/>
        <w:gridCol w:w="1204"/>
        <w:gridCol w:w="1204"/>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28"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毕业总人数（人）</w:t>
            </w:r>
          </w:p>
        </w:tc>
        <w:tc>
          <w:tcPr>
            <w:tcW w:w="989"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专业大类</w:t>
            </w:r>
          </w:p>
        </w:tc>
        <w:tc>
          <w:tcPr>
            <w:tcW w:w="1353"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278"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毕业生人数</w:t>
            </w:r>
          </w:p>
        </w:tc>
        <w:tc>
          <w:tcPr>
            <w:tcW w:w="1204"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毕业生占比</w:t>
            </w:r>
          </w:p>
        </w:tc>
        <w:tc>
          <w:tcPr>
            <w:tcW w:w="1204"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就业人数</w:t>
            </w:r>
          </w:p>
        </w:tc>
        <w:tc>
          <w:tcPr>
            <w:tcW w:w="2073"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直接升学人数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106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989"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1353"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1278"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1204"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1204"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2073"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062" w:type="dxa"/>
            <w:vMerge w:val="restart"/>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680</w:t>
            </w:r>
          </w:p>
        </w:tc>
        <w:tc>
          <w:tcPr>
            <w:tcW w:w="1066" w:type="dxa"/>
            <w:vMerge w:val="restart"/>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311</w:t>
            </w:r>
          </w:p>
        </w:tc>
        <w:tc>
          <w:tcPr>
            <w:tcW w:w="989" w:type="dxa"/>
            <w:vMerge w:val="restart"/>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电工电子类</w:t>
            </w:r>
          </w:p>
          <w:p>
            <w:pPr>
              <w:tabs>
                <w:tab w:val="left" w:pos="1071"/>
              </w:tabs>
              <w:adjustRightInd w:val="0"/>
              <w:snapToGrid w:val="0"/>
              <w:jc w:val="center"/>
              <w:rPr>
                <w:rFonts w:ascii="Times New Roman" w:hAnsi="Times New Roman" w:eastAsia="仿宋_GB2312" w:cs="Times New Roman"/>
                <w:bCs/>
                <w:szCs w:val="21"/>
              </w:rPr>
            </w:pP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50</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7.35%</w:t>
            </w:r>
          </w:p>
        </w:tc>
        <w:tc>
          <w:tcPr>
            <w:tcW w:w="1204" w:type="dxa"/>
            <w:vAlign w:val="center"/>
          </w:tcPr>
          <w:p>
            <w:pPr>
              <w:tabs>
                <w:tab w:val="left" w:pos="557"/>
              </w:tabs>
              <w:adjustRightInd w:val="0"/>
              <w:snapToGrid w:val="0"/>
              <w:jc w:val="left"/>
              <w:rPr>
                <w:rFonts w:ascii="Times New Roman" w:hAnsi="Times New Roman" w:eastAsia="仿宋_GB2312" w:cs="Times New Roman"/>
                <w:bCs/>
                <w:szCs w:val="21"/>
              </w:rPr>
            </w:pPr>
            <w:r>
              <w:rPr>
                <w:rFonts w:hint="eastAsia" w:ascii="Times New Roman" w:hAnsi="Times New Roman" w:eastAsia="仿宋_GB2312" w:cs="Times New Roman"/>
                <w:bCs/>
                <w:szCs w:val="21"/>
              </w:rPr>
              <w:tab/>
            </w:r>
            <w:r>
              <w:rPr>
                <w:rFonts w:hint="eastAsia" w:ascii="Times New Roman" w:hAnsi="Times New Roman" w:eastAsia="仿宋_GB2312" w:cs="Times New Roman"/>
                <w:bCs/>
                <w:szCs w:val="21"/>
              </w:rPr>
              <w:t>50</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18</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5.79%</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18</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restart"/>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财经商贸类</w:t>
            </w:r>
          </w:p>
          <w:p>
            <w:pPr>
              <w:tabs>
                <w:tab w:val="left" w:pos="1071"/>
              </w:tabs>
              <w:adjustRightInd w:val="0"/>
              <w:snapToGrid w:val="0"/>
              <w:jc w:val="center"/>
              <w:rPr>
                <w:rFonts w:ascii="Times New Roman" w:hAnsi="Times New Roman" w:eastAsia="仿宋_GB2312" w:cs="Times New Roman"/>
                <w:bCs/>
                <w:szCs w:val="21"/>
              </w:rPr>
            </w:pP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57</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8.38%</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57</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25</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8.04%</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22</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restart"/>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服务类</w:t>
            </w: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55</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8.09%</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55</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39</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12.54%</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38</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restart"/>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信息类</w:t>
            </w: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40</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5.88%</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40</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32</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10.29%</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32</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restart"/>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交通类</w:t>
            </w: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359</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52.79%</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358</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117</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37.62%</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113</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restart"/>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机械类</w:t>
            </w: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64</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9.41%</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64</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7（其中中转高7人）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27</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8.68%</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25</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3（其中中转高1人）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restart"/>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其他</w:t>
            </w: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55</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8.09%</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55</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62"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066"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989" w:type="dxa"/>
            <w:vMerge w:val="continue"/>
            <w:vAlign w:val="center"/>
          </w:tcPr>
          <w:p>
            <w:pPr>
              <w:tabs>
                <w:tab w:val="left" w:pos="1071"/>
              </w:tabs>
              <w:adjustRightInd w:val="0"/>
              <w:snapToGrid w:val="0"/>
              <w:jc w:val="center"/>
              <w:rPr>
                <w:rFonts w:ascii="Times New Roman" w:hAnsi="Times New Roman" w:eastAsia="仿宋_GB2312" w:cs="Times New Roman"/>
                <w:bCs/>
                <w:szCs w:val="21"/>
              </w:rPr>
            </w:pPr>
          </w:p>
        </w:tc>
        <w:tc>
          <w:tcPr>
            <w:tcW w:w="1353" w:type="dxa"/>
            <w:vAlign w:val="center"/>
          </w:tcPr>
          <w:p>
            <w:pPr>
              <w:tabs>
                <w:tab w:val="left" w:pos="1071"/>
              </w:tabs>
              <w:adjustRightInd w:val="0"/>
              <w:snapToGrid w:val="0"/>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53</w:t>
            </w:r>
          </w:p>
        </w:tc>
        <w:tc>
          <w:tcPr>
            <w:tcW w:w="1204" w:type="dxa"/>
            <w:vAlign w:val="center"/>
          </w:tcPr>
          <w:p>
            <w:pPr>
              <w:widowControl/>
              <w:jc w:val="center"/>
              <w:textAlignment w:val="center"/>
              <w:rPr>
                <w:rFonts w:ascii="Times New Roman" w:hAnsi="Times New Roman" w:eastAsia="仿宋_GB2312" w:cs="Times New Roman"/>
                <w:bCs/>
                <w:szCs w:val="21"/>
              </w:rPr>
            </w:pPr>
            <w:r>
              <w:rPr>
                <w:rFonts w:hint="eastAsia" w:ascii="宋体" w:hAnsi="宋体" w:eastAsia="宋体" w:cs="宋体"/>
                <w:bCs/>
                <w:kern w:val="0"/>
                <w:sz w:val="22"/>
                <w:szCs w:val="22"/>
              </w:rPr>
              <w:t>17.04%</w:t>
            </w:r>
          </w:p>
        </w:tc>
        <w:tc>
          <w:tcPr>
            <w:tcW w:w="1204"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51</w:t>
            </w:r>
          </w:p>
        </w:tc>
        <w:tc>
          <w:tcPr>
            <w:tcW w:w="2073" w:type="dxa"/>
            <w:vAlign w:val="center"/>
          </w:tcPr>
          <w:p>
            <w:pPr>
              <w:adjustRightInd w:val="0"/>
              <w:snapToGrid w:val="0"/>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bl>
    <w:p>
      <w:pPr>
        <w:tabs>
          <w:tab w:val="left" w:pos="1071"/>
        </w:tabs>
        <w:spacing w:line="580" w:lineRule="exact"/>
        <w:ind w:firstLine="643" w:firstLineChars="200"/>
        <w:rPr>
          <w:rFonts w:hint="eastAsia" w:ascii="Times New Roman" w:hAnsi="Times New Roman" w:eastAsia="仿宋_GB2312" w:cs="Times New Roman"/>
          <w:b/>
          <w:color w:val="FF0000"/>
          <w:sz w:val="32"/>
          <w:lang w:eastAsia="zh-CN"/>
        </w:rPr>
      </w:pPr>
      <w:r>
        <w:rPr>
          <w:rFonts w:ascii="Times New Roman" w:hAnsi="Times New Roman" w:eastAsia="仿宋_GB2312" w:cs="Times New Roman"/>
          <w:b/>
          <w:sz w:val="32"/>
        </w:rPr>
        <w:t>4.学生结构</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表8 2020-2021年学生人数统计表</w:t>
      </w:r>
    </w:p>
    <w:tbl>
      <w:tblPr>
        <w:tblStyle w:val="9"/>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2"/>
        <w:gridCol w:w="1066"/>
        <w:gridCol w:w="1421"/>
        <w:gridCol w:w="1353"/>
        <w:gridCol w:w="1278"/>
        <w:gridCol w:w="1204"/>
        <w:gridCol w:w="120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28"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在校生总人数（人）</w:t>
            </w:r>
          </w:p>
        </w:tc>
        <w:tc>
          <w:tcPr>
            <w:tcW w:w="1421"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学生结构</w:t>
            </w:r>
          </w:p>
        </w:tc>
        <w:tc>
          <w:tcPr>
            <w:tcW w:w="1353"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278"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在校生人数</w:t>
            </w:r>
          </w:p>
        </w:tc>
        <w:tc>
          <w:tcPr>
            <w:tcW w:w="1204"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占在校生人数比</w:t>
            </w:r>
          </w:p>
        </w:tc>
        <w:tc>
          <w:tcPr>
            <w:tcW w:w="1204"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毕业生人数</w:t>
            </w:r>
          </w:p>
        </w:tc>
        <w:tc>
          <w:tcPr>
            <w:tcW w:w="1205"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占毕业生人数比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1066"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1421"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1353" w:type="dxa"/>
            <w:vMerge w:val="continue"/>
          </w:tcPr>
          <w:p>
            <w:pPr>
              <w:tabs>
                <w:tab w:val="left" w:pos="1071"/>
              </w:tabs>
              <w:spacing w:line="300" w:lineRule="exact"/>
              <w:jc w:val="center"/>
              <w:rPr>
                <w:rFonts w:ascii="Times New Roman" w:hAnsi="Times New Roman" w:eastAsia="仿宋_GB2312" w:cs="Times New Roman"/>
                <w:b/>
                <w:szCs w:val="21"/>
              </w:rPr>
            </w:pPr>
          </w:p>
        </w:tc>
        <w:tc>
          <w:tcPr>
            <w:tcW w:w="1278" w:type="dxa"/>
            <w:vMerge w:val="continue"/>
          </w:tcPr>
          <w:p>
            <w:pPr>
              <w:tabs>
                <w:tab w:val="left" w:pos="1071"/>
              </w:tabs>
              <w:spacing w:line="300" w:lineRule="exact"/>
              <w:jc w:val="center"/>
              <w:rPr>
                <w:rFonts w:ascii="Times New Roman" w:hAnsi="Times New Roman" w:eastAsia="仿宋_GB2312" w:cs="Times New Roman"/>
                <w:b/>
                <w:szCs w:val="21"/>
              </w:rPr>
            </w:pPr>
          </w:p>
        </w:tc>
        <w:tc>
          <w:tcPr>
            <w:tcW w:w="1204" w:type="dxa"/>
            <w:vMerge w:val="continue"/>
          </w:tcPr>
          <w:p>
            <w:pPr>
              <w:tabs>
                <w:tab w:val="left" w:pos="1071"/>
              </w:tabs>
              <w:spacing w:line="300" w:lineRule="exact"/>
              <w:jc w:val="center"/>
              <w:rPr>
                <w:rFonts w:ascii="Times New Roman" w:hAnsi="Times New Roman" w:eastAsia="仿宋_GB2312" w:cs="Times New Roman"/>
                <w:b/>
                <w:szCs w:val="21"/>
              </w:rPr>
            </w:pPr>
          </w:p>
        </w:tc>
        <w:tc>
          <w:tcPr>
            <w:tcW w:w="1204" w:type="dxa"/>
            <w:vMerge w:val="continue"/>
          </w:tcPr>
          <w:p>
            <w:pPr>
              <w:tabs>
                <w:tab w:val="left" w:pos="1071"/>
              </w:tabs>
              <w:spacing w:line="300" w:lineRule="exact"/>
              <w:jc w:val="center"/>
              <w:rPr>
                <w:rFonts w:ascii="Times New Roman" w:hAnsi="Times New Roman" w:eastAsia="仿宋_GB2312" w:cs="Times New Roman"/>
                <w:b/>
                <w:szCs w:val="21"/>
              </w:rPr>
            </w:pPr>
          </w:p>
        </w:tc>
        <w:tc>
          <w:tcPr>
            <w:tcW w:w="1205" w:type="dxa"/>
            <w:vMerge w:val="continue"/>
          </w:tcPr>
          <w:p>
            <w:pPr>
              <w:tabs>
                <w:tab w:val="left" w:pos="1071"/>
              </w:tabs>
              <w:spacing w:line="300" w:lineRule="exact"/>
              <w:jc w:val="center"/>
              <w:rPr>
                <w:rFonts w:ascii="Times New Roman" w:hAnsi="Times New Roman" w:eastAsia="仿宋_GB2312"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Merge w:val="restart"/>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1357</w:t>
            </w:r>
          </w:p>
        </w:tc>
        <w:tc>
          <w:tcPr>
            <w:tcW w:w="1066" w:type="dxa"/>
            <w:vMerge w:val="restart"/>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1333</w:t>
            </w:r>
          </w:p>
        </w:tc>
        <w:tc>
          <w:tcPr>
            <w:tcW w:w="1421" w:type="dxa"/>
            <w:vMerge w:val="restart"/>
            <w:vAlign w:val="center"/>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中级工</w:t>
            </w:r>
          </w:p>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（三年制）</w:t>
            </w:r>
          </w:p>
        </w:tc>
        <w:tc>
          <w:tcPr>
            <w:tcW w:w="1353" w:type="dxa"/>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1126</w:t>
            </w:r>
          </w:p>
        </w:tc>
        <w:tc>
          <w:tcPr>
            <w:tcW w:w="1204"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82.98%</w:t>
            </w:r>
          </w:p>
        </w:tc>
        <w:tc>
          <w:tcPr>
            <w:tcW w:w="1204"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464</w:t>
            </w:r>
          </w:p>
        </w:tc>
        <w:tc>
          <w:tcPr>
            <w:tcW w:w="1205"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68.24%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066"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421"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353" w:type="dxa"/>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1105</w:t>
            </w:r>
          </w:p>
        </w:tc>
        <w:tc>
          <w:tcPr>
            <w:tcW w:w="1204"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82.90%</w:t>
            </w:r>
          </w:p>
        </w:tc>
        <w:tc>
          <w:tcPr>
            <w:tcW w:w="1204"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308</w:t>
            </w:r>
          </w:p>
        </w:tc>
        <w:tc>
          <w:tcPr>
            <w:tcW w:w="1205"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99.03%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066"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421" w:type="dxa"/>
            <w:vMerge w:val="restart"/>
            <w:vAlign w:val="center"/>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高级工</w:t>
            </w:r>
          </w:p>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（五年制）</w:t>
            </w:r>
          </w:p>
        </w:tc>
        <w:tc>
          <w:tcPr>
            <w:tcW w:w="1353" w:type="dxa"/>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224</w:t>
            </w:r>
          </w:p>
        </w:tc>
        <w:tc>
          <w:tcPr>
            <w:tcW w:w="1204"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16.50%</w:t>
            </w:r>
          </w:p>
        </w:tc>
        <w:tc>
          <w:tcPr>
            <w:tcW w:w="1204"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216</w:t>
            </w:r>
          </w:p>
        </w:tc>
        <w:tc>
          <w:tcPr>
            <w:tcW w:w="1205"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066"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421"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353" w:type="dxa"/>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220</w:t>
            </w:r>
          </w:p>
        </w:tc>
        <w:tc>
          <w:tcPr>
            <w:tcW w:w="1204"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16.50%</w:t>
            </w:r>
          </w:p>
        </w:tc>
        <w:tc>
          <w:tcPr>
            <w:tcW w:w="1204"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w:t>
            </w:r>
          </w:p>
        </w:tc>
        <w:tc>
          <w:tcPr>
            <w:tcW w:w="1205" w:type="dxa"/>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62" w:type="dxa"/>
            <w:vMerge w:val="continue"/>
            <w:vAlign w:val="center"/>
          </w:tcPr>
          <w:p>
            <w:pPr>
              <w:tabs>
                <w:tab w:val="left" w:pos="1071"/>
              </w:tabs>
              <w:spacing w:line="300" w:lineRule="exact"/>
              <w:jc w:val="left"/>
              <w:rPr>
                <w:rFonts w:ascii="Times New Roman" w:hAnsi="Times New Roman" w:eastAsia="仿宋_GB2312" w:cs="Times New Roman"/>
                <w:bCs/>
                <w:szCs w:val="21"/>
              </w:rPr>
            </w:pPr>
          </w:p>
        </w:tc>
        <w:tc>
          <w:tcPr>
            <w:tcW w:w="1066"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421" w:type="dxa"/>
            <w:vMerge w:val="restart"/>
            <w:vAlign w:val="center"/>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高级工</w:t>
            </w:r>
          </w:p>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（二年制）</w:t>
            </w:r>
          </w:p>
        </w:tc>
        <w:tc>
          <w:tcPr>
            <w:tcW w:w="1353" w:type="dxa"/>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7</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0.52%</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5"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066"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421"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353" w:type="dxa"/>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8</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0.60%</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5"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066"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421" w:type="dxa"/>
            <w:vMerge w:val="restart"/>
            <w:vAlign w:val="center"/>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预备技师</w:t>
            </w:r>
          </w:p>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（六年制）</w:t>
            </w:r>
          </w:p>
        </w:tc>
        <w:tc>
          <w:tcPr>
            <w:tcW w:w="1353" w:type="dxa"/>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2020</w:t>
            </w:r>
          </w:p>
        </w:tc>
        <w:tc>
          <w:tcPr>
            <w:tcW w:w="1278"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5"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066"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421"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353" w:type="dxa"/>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2021</w:t>
            </w:r>
          </w:p>
        </w:tc>
        <w:tc>
          <w:tcPr>
            <w:tcW w:w="1278"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5"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066" w:type="dxa"/>
            <w:vMerge w:val="continue"/>
            <w:vAlign w:val="center"/>
          </w:tcPr>
          <w:p>
            <w:pPr>
              <w:tabs>
                <w:tab w:val="left" w:pos="1071"/>
              </w:tabs>
              <w:spacing w:line="300" w:lineRule="exact"/>
              <w:jc w:val="center"/>
              <w:rPr>
                <w:rFonts w:ascii="Times New Roman" w:hAnsi="Times New Roman" w:eastAsia="仿宋_GB2312" w:cs="Times New Roman"/>
                <w:bCs/>
                <w:szCs w:val="21"/>
              </w:rPr>
            </w:pPr>
          </w:p>
        </w:tc>
        <w:tc>
          <w:tcPr>
            <w:tcW w:w="1421" w:type="dxa"/>
            <w:vAlign w:val="center"/>
          </w:tcPr>
          <w:p>
            <w:pPr>
              <w:tabs>
                <w:tab w:val="left" w:pos="1071"/>
              </w:tabs>
              <w:spacing w:line="300" w:lineRule="exact"/>
              <w:jc w:val="center"/>
              <w:rPr>
                <w:rFonts w:ascii="Times New Roman" w:hAnsi="Times New Roman" w:eastAsia="仿宋_GB2312" w:cs="Times New Roman"/>
                <w:bCs/>
                <w:szCs w:val="21"/>
              </w:rPr>
            </w:pPr>
            <w:r>
              <w:rPr>
                <w:rFonts w:ascii="Times New Roman" w:hAnsi="Times New Roman" w:eastAsia="仿宋_GB2312" w:cs="Times New Roman"/>
                <w:bCs/>
                <w:szCs w:val="21"/>
              </w:rPr>
              <w:t>其他可根据实际情况补充</w:t>
            </w:r>
          </w:p>
        </w:tc>
        <w:tc>
          <w:tcPr>
            <w:tcW w:w="1353"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78"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4"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c>
          <w:tcPr>
            <w:tcW w:w="1205" w:type="dxa"/>
            <w:vAlign w:val="center"/>
          </w:tcPr>
          <w:p>
            <w:pPr>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0</w:t>
            </w:r>
          </w:p>
        </w:tc>
      </w:tr>
    </w:tbl>
    <w:p>
      <w:pPr>
        <w:tabs>
          <w:tab w:val="left" w:pos="1071"/>
        </w:tabs>
        <w:spacing w:line="580" w:lineRule="exact"/>
        <w:ind w:firstLine="643" w:firstLineChars="200"/>
        <w:rPr>
          <w:rFonts w:hint="eastAsia" w:ascii="Times New Roman" w:hAnsi="Times New Roman" w:eastAsia="仿宋_GB2312" w:cs="Times New Roman"/>
          <w:b/>
          <w:sz w:val="32"/>
          <w:lang w:eastAsia="zh-CN"/>
        </w:rPr>
      </w:pPr>
      <w:r>
        <w:rPr>
          <w:rFonts w:ascii="Times New Roman" w:hAnsi="Times New Roman" w:eastAsia="仿宋_GB2312" w:cs="Times New Roman"/>
          <w:b/>
          <w:sz w:val="32"/>
        </w:rPr>
        <w:t>5.培训学生规模</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表9 2020-2021年培训学生情况一览表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9"/>
        <w:gridCol w:w="1542"/>
        <w:gridCol w:w="1497"/>
        <w:gridCol w:w="946"/>
        <w:gridCol w:w="899"/>
        <w:gridCol w:w="946"/>
        <w:gridCol w:w="908"/>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84"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培训项目</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名称</w:t>
            </w:r>
          </w:p>
        </w:tc>
        <w:tc>
          <w:tcPr>
            <w:tcW w:w="1638"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项目涉及专业</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（工种）</w:t>
            </w:r>
          </w:p>
        </w:tc>
        <w:tc>
          <w:tcPr>
            <w:tcW w:w="1590"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性质</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（公益/有偿）</w:t>
            </w:r>
          </w:p>
        </w:tc>
        <w:tc>
          <w:tcPr>
            <w:tcW w:w="1931"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培训人数</w:t>
            </w:r>
          </w:p>
        </w:tc>
        <w:tc>
          <w:tcPr>
            <w:tcW w:w="1941"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培训天数</w:t>
            </w:r>
          </w:p>
        </w:tc>
        <w:tc>
          <w:tcPr>
            <w:tcW w:w="976"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培训形式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84" w:type="dxa"/>
            <w:vMerge w:val="continue"/>
          </w:tcPr>
          <w:p>
            <w:pPr>
              <w:tabs>
                <w:tab w:val="left" w:pos="1071"/>
              </w:tabs>
              <w:spacing w:line="300" w:lineRule="exact"/>
              <w:jc w:val="center"/>
              <w:rPr>
                <w:rFonts w:ascii="Times New Roman" w:hAnsi="Times New Roman" w:eastAsia="仿宋_GB2312" w:cs="Times New Roman"/>
                <w:b/>
                <w:szCs w:val="21"/>
              </w:rPr>
            </w:pPr>
          </w:p>
        </w:tc>
        <w:tc>
          <w:tcPr>
            <w:tcW w:w="1638" w:type="dxa"/>
            <w:vMerge w:val="continue"/>
          </w:tcPr>
          <w:p>
            <w:pPr>
              <w:tabs>
                <w:tab w:val="left" w:pos="1071"/>
              </w:tabs>
              <w:spacing w:line="300" w:lineRule="exact"/>
              <w:jc w:val="center"/>
              <w:rPr>
                <w:rFonts w:ascii="Times New Roman" w:hAnsi="Times New Roman" w:eastAsia="仿宋_GB2312" w:cs="Times New Roman"/>
                <w:b/>
                <w:szCs w:val="21"/>
              </w:rPr>
            </w:pPr>
          </w:p>
        </w:tc>
        <w:tc>
          <w:tcPr>
            <w:tcW w:w="1590" w:type="dxa"/>
            <w:vMerge w:val="continue"/>
          </w:tcPr>
          <w:p>
            <w:pPr>
              <w:tabs>
                <w:tab w:val="left" w:pos="1071"/>
              </w:tabs>
              <w:spacing w:line="300" w:lineRule="exact"/>
              <w:jc w:val="center"/>
              <w:rPr>
                <w:rFonts w:ascii="Times New Roman" w:hAnsi="Times New Roman" w:eastAsia="仿宋_GB2312" w:cs="Times New Roman"/>
                <w:b/>
                <w:szCs w:val="21"/>
              </w:rPr>
            </w:pPr>
          </w:p>
        </w:tc>
        <w:tc>
          <w:tcPr>
            <w:tcW w:w="991"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940"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991"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950"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976" w:type="dxa"/>
            <w:vMerge w:val="continue"/>
          </w:tcPr>
          <w:p>
            <w:pPr>
              <w:tabs>
                <w:tab w:val="left" w:pos="1071"/>
              </w:tabs>
              <w:spacing w:line="300" w:lineRule="exact"/>
              <w:jc w:val="center"/>
              <w:rPr>
                <w:rFonts w:ascii="Times New Roman" w:hAnsi="Times New Roman" w:eastAsia="仿宋_GB2312"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84" w:type="dxa"/>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计算机专项</w:t>
            </w:r>
          </w:p>
        </w:tc>
        <w:tc>
          <w:tcPr>
            <w:tcW w:w="163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办公应用</w:t>
            </w:r>
          </w:p>
        </w:tc>
        <w:tc>
          <w:tcPr>
            <w:tcW w:w="159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公益</w:t>
            </w:r>
          </w:p>
        </w:tc>
        <w:tc>
          <w:tcPr>
            <w:tcW w:w="99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136</w:t>
            </w:r>
          </w:p>
        </w:tc>
        <w:tc>
          <w:tcPr>
            <w:tcW w:w="9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113</w:t>
            </w:r>
          </w:p>
        </w:tc>
        <w:tc>
          <w:tcPr>
            <w:tcW w:w="99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28</w:t>
            </w:r>
          </w:p>
        </w:tc>
        <w:tc>
          <w:tcPr>
            <w:tcW w:w="95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21</w:t>
            </w:r>
          </w:p>
        </w:tc>
        <w:tc>
          <w:tcPr>
            <w:tcW w:w="97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线下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22" w:type="dxa"/>
            <w:gridSpan w:val="2"/>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合计</w:t>
            </w:r>
          </w:p>
        </w:tc>
        <w:tc>
          <w:tcPr>
            <w:tcW w:w="159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公益</w:t>
            </w:r>
          </w:p>
        </w:tc>
        <w:tc>
          <w:tcPr>
            <w:tcW w:w="99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136</w:t>
            </w:r>
          </w:p>
        </w:tc>
        <w:tc>
          <w:tcPr>
            <w:tcW w:w="9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113</w:t>
            </w:r>
          </w:p>
        </w:tc>
        <w:tc>
          <w:tcPr>
            <w:tcW w:w="99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28</w:t>
            </w:r>
          </w:p>
        </w:tc>
        <w:tc>
          <w:tcPr>
            <w:tcW w:w="95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21</w:t>
            </w:r>
          </w:p>
        </w:tc>
        <w:tc>
          <w:tcPr>
            <w:tcW w:w="97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线下</w:t>
            </w:r>
          </w:p>
        </w:tc>
      </w:tr>
    </w:tbl>
    <w:p>
      <w:pPr>
        <w:tabs>
          <w:tab w:val="left" w:pos="1071"/>
        </w:tabs>
        <w:spacing w:line="580" w:lineRule="exact"/>
        <w:ind w:firstLine="643" w:firstLineChars="200"/>
        <w:rPr>
          <w:rFonts w:hint="eastAsia" w:ascii="Times New Roman" w:hAnsi="Times New Roman" w:eastAsia="仿宋_GB2312" w:cs="Times New Roman"/>
          <w:b/>
          <w:sz w:val="32"/>
          <w:lang w:eastAsia="zh-CN"/>
        </w:rPr>
      </w:pPr>
      <w:r>
        <w:rPr>
          <w:rFonts w:ascii="Times New Roman" w:hAnsi="Times New Roman" w:eastAsia="仿宋_GB2312" w:cs="Times New Roman"/>
          <w:b/>
          <w:sz w:val="32"/>
        </w:rPr>
        <w:t>6.</w:t>
      </w:r>
      <w:r>
        <w:rPr>
          <w:rFonts w:ascii="Times New Roman" w:hAnsi="Times New Roman" w:cs="Times New Roman"/>
        </w:rPr>
        <w:t xml:space="preserve"> </w:t>
      </w:r>
      <w:r>
        <w:rPr>
          <w:rFonts w:ascii="Times New Roman" w:hAnsi="Times New Roman" w:eastAsia="仿宋_GB2312" w:cs="Times New Roman"/>
          <w:b/>
          <w:sz w:val="32"/>
        </w:rPr>
        <w:t>技能鉴定（等级认定）学生规模</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表10 2020-2021年技能鉴定（等级认定）学生情况一览表</w:t>
      </w:r>
    </w:p>
    <w:tbl>
      <w:tblPr>
        <w:tblStyle w:val="9"/>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6"/>
        <w:gridCol w:w="1575"/>
        <w:gridCol w:w="877"/>
        <w:gridCol w:w="951"/>
        <w:gridCol w:w="1134"/>
        <w:gridCol w:w="1240"/>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项目名称</w:t>
            </w:r>
          </w:p>
        </w:tc>
        <w:tc>
          <w:tcPr>
            <w:tcW w:w="1575"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涉及专业</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（工种）</w:t>
            </w:r>
          </w:p>
        </w:tc>
        <w:tc>
          <w:tcPr>
            <w:tcW w:w="1828"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鉴定（评价）人数</w:t>
            </w:r>
          </w:p>
        </w:tc>
        <w:tc>
          <w:tcPr>
            <w:tcW w:w="2374" w:type="dxa"/>
            <w:gridSpan w:val="2"/>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通过人数</w:t>
            </w:r>
          </w:p>
        </w:tc>
        <w:tc>
          <w:tcPr>
            <w:tcW w:w="1931"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鉴定（评价）单位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vMerge w:val="continue"/>
          </w:tcPr>
          <w:p>
            <w:pPr>
              <w:tabs>
                <w:tab w:val="left" w:pos="1071"/>
              </w:tabs>
              <w:spacing w:line="300" w:lineRule="exact"/>
              <w:jc w:val="center"/>
              <w:rPr>
                <w:rFonts w:ascii="Times New Roman" w:hAnsi="Times New Roman" w:eastAsia="仿宋_GB2312" w:cs="Times New Roman"/>
                <w:b/>
                <w:szCs w:val="21"/>
              </w:rPr>
            </w:pPr>
          </w:p>
        </w:tc>
        <w:tc>
          <w:tcPr>
            <w:tcW w:w="1575" w:type="dxa"/>
            <w:vMerge w:val="continue"/>
          </w:tcPr>
          <w:p>
            <w:pPr>
              <w:tabs>
                <w:tab w:val="left" w:pos="1071"/>
              </w:tabs>
              <w:spacing w:line="300" w:lineRule="exact"/>
              <w:jc w:val="center"/>
              <w:rPr>
                <w:rFonts w:ascii="Times New Roman" w:hAnsi="Times New Roman" w:eastAsia="仿宋_GB2312" w:cs="Times New Roman"/>
                <w:b/>
                <w:szCs w:val="21"/>
              </w:rPr>
            </w:pPr>
          </w:p>
        </w:tc>
        <w:tc>
          <w:tcPr>
            <w:tcW w:w="877"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951"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1134"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1240"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1931" w:type="dxa"/>
            <w:vMerge w:val="continue"/>
          </w:tcPr>
          <w:p>
            <w:pPr>
              <w:tabs>
                <w:tab w:val="left" w:pos="1071"/>
              </w:tabs>
              <w:spacing w:line="300" w:lineRule="exact"/>
              <w:jc w:val="center"/>
              <w:rPr>
                <w:rFonts w:ascii="Times New Roman" w:hAnsi="Times New Roman" w:eastAsia="仿宋_GB2312"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技能鉴定</w:t>
            </w:r>
          </w:p>
        </w:tc>
        <w:tc>
          <w:tcPr>
            <w:tcW w:w="157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汽车维修工</w:t>
            </w:r>
          </w:p>
        </w:tc>
        <w:tc>
          <w:tcPr>
            <w:tcW w:w="87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249</w:t>
            </w:r>
          </w:p>
        </w:tc>
        <w:tc>
          <w:tcPr>
            <w:tcW w:w="9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114</w:t>
            </w:r>
          </w:p>
        </w:tc>
        <w:tc>
          <w:tcPr>
            <w:tcW w:w="113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236</w:t>
            </w:r>
          </w:p>
        </w:tc>
        <w:tc>
          <w:tcPr>
            <w:tcW w:w="12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114</w:t>
            </w:r>
          </w:p>
        </w:tc>
        <w:tc>
          <w:tcPr>
            <w:tcW w:w="19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自贡市职业培训学院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技能鉴定</w:t>
            </w:r>
          </w:p>
        </w:tc>
        <w:tc>
          <w:tcPr>
            <w:tcW w:w="157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保育员</w:t>
            </w:r>
          </w:p>
        </w:tc>
        <w:tc>
          <w:tcPr>
            <w:tcW w:w="87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23</w:t>
            </w:r>
          </w:p>
        </w:tc>
        <w:tc>
          <w:tcPr>
            <w:tcW w:w="9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47</w:t>
            </w:r>
          </w:p>
        </w:tc>
        <w:tc>
          <w:tcPr>
            <w:tcW w:w="113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w:t>
            </w:r>
          </w:p>
        </w:tc>
        <w:tc>
          <w:tcPr>
            <w:tcW w:w="12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47</w:t>
            </w:r>
          </w:p>
        </w:tc>
        <w:tc>
          <w:tcPr>
            <w:tcW w:w="19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自贡市职业培训学院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专项能力</w:t>
            </w:r>
          </w:p>
        </w:tc>
        <w:tc>
          <w:tcPr>
            <w:tcW w:w="157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办公软件应用</w:t>
            </w:r>
          </w:p>
        </w:tc>
        <w:tc>
          <w:tcPr>
            <w:tcW w:w="87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60</w:t>
            </w:r>
          </w:p>
        </w:tc>
        <w:tc>
          <w:tcPr>
            <w:tcW w:w="9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73</w:t>
            </w:r>
          </w:p>
        </w:tc>
        <w:tc>
          <w:tcPr>
            <w:tcW w:w="113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35</w:t>
            </w:r>
          </w:p>
        </w:tc>
        <w:tc>
          <w:tcPr>
            <w:tcW w:w="12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31</w:t>
            </w:r>
          </w:p>
        </w:tc>
        <w:tc>
          <w:tcPr>
            <w:tcW w:w="19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自贡市职业培训学院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专项能力</w:t>
            </w:r>
          </w:p>
        </w:tc>
        <w:tc>
          <w:tcPr>
            <w:tcW w:w="157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网络营销</w:t>
            </w:r>
          </w:p>
        </w:tc>
        <w:tc>
          <w:tcPr>
            <w:tcW w:w="87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9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18</w:t>
            </w:r>
          </w:p>
        </w:tc>
        <w:tc>
          <w:tcPr>
            <w:tcW w:w="113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15</w:t>
            </w:r>
          </w:p>
        </w:tc>
        <w:tc>
          <w:tcPr>
            <w:tcW w:w="19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自贡市职业培训学院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专项能力</w:t>
            </w:r>
          </w:p>
        </w:tc>
        <w:tc>
          <w:tcPr>
            <w:tcW w:w="157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烹饪原材料切配</w:t>
            </w:r>
          </w:p>
        </w:tc>
        <w:tc>
          <w:tcPr>
            <w:tcW w:w="87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9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65</w:t>
            </w:r>
          </w:p>
        </w:tc>
        <w:tc>
          <w:tcPr>
            <w:tcW w:w="113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65</w:t>
            </w:r>
          </w:p>
        </w:tc>
        <w:tc>
          <w:tcPr>
            <w:tcW w:w="19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自贡市职业培训学院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技能鉴定</w:t>
            </w:r>
          </w:p>
        </w:tc>
        <w:tc>
          <w:tcPr>
            <w:tcW w:w="157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车工</w:t>
            </w:r>
          </w:p>
        </w:tc>
        <w:tc>
          <w:tcPr>
            <w:tcW w:w="87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w:t>
            </w:r>
          </w:p>
        </w:tc>
        <w:tc>
          <w:tcPr>
            <w:tcW w:w="9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68</w:t>
            </w:r>
          </w:p>
        </w:tc>
        <w:tc>
          <w:tcPr>
            <w:tcW w:w="113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w:t>
            </w:r>
          </w:p>
        </w:tc>
        <w:tc>
          <w:tcPr>
            <w:tcW w:w="12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67</w:t>
            </w:r>
          </w:p>
        </w:tc>
        <w:tc>
          <w:tcPr>
            <w:tcW w:w="19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自贡市职业培训学院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技能鉴定</w:t>
            </w:r>
          </w:p>
        </w:tc>
        <w:tc>
          <w:tcPr>
            <w:tcW w:w="157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电工</w:t>
            </w:r>
          </w:p>
        </w:tc>
        <w:tc>
          <w:tcPr>
            <w:tcW w:w="87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w:t>
            </w:r>
          </w:p>
        </w:tc>
        <w:tc>
          <w:tcPr>
            <w:tcW w:w="9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129</w:t>
            </w:r>
          </w:p>
        </w:tc>
        <w:tc>
          <w:tcPr>
            <w:tcW w:w="113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w:t>
            </w:r>
          </w:p>
        </w:tc>
        <w:tc>
          <w:tcPr>
            <w:tcW w:w="12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116</w:t>
            </w:r>
          </w:p>
        </w:tc>
        <w:tc>
          <w:tcPr>
            <w:tcW w:w="19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自贡市职业培训学院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技能鉴定</w:t>
            </w:r>
          </w:p>
        </w:tc>
        <w:tc>
          <w:tcPr>
            <w:tcW w:w="157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中式烹调师</w:t>
            </w:r>
          </w:p>
        </w:tc>
        <w:tc>
          <w:tcPr>
            <w:tcW w:w="87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80</w:t>
            </w:r>
          </w:p>
        </w:tc>
        <w:tc>
          <w:tcPr>
            <w:tcW w:w="9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38</w:t>
            </w:r>
          </w:p>
        </w:tc>
        <w:tc>
          <w:tcPr>
            <w:tcW w:w="113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69</w:t>
            </w:r>
          </w:p>
        </w:tc>
        <w:tc>
          <w:tcPr>
            <w:tcW w:w="1240"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38</w:t>
            </w:r>
          </w:p>
        </w:tc>
        <w:tc>
          <w:tcPr>
            <w:tcW w:w="19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自贡市职业培训学院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721" w:type="dxa"/>
            <w:gridSpan w:val="2"/>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合计</w:t>
            </w:r>
          </w:p>
        </w:tc>
        <w:tc>
          <w:tcPr>
            <w:tcW w:w="877" w:type="dxa"/>
          </w:tcPr>
          <w:p>
            <w:pPr>
              <w:spacing w:line="300" w:lineRule="exact"/>
              <w:rPr>
                <w:rFonts w:ascii="Times New Roman" w:hAnsi="Times New Roman" w:eastAsia="仿宋_GB2312" w:cs="Times New Roman"/>
                <w:szCs w:val="21"/>
              </w:rPr>
            </w:pPr>
            <w:r>
              <w:rPr>
                <w:rFonts w:hint="eastAsia" w:ascii="Times New Roman" w:hAnsi="Times New Roman" w:eastAsia="仿宋_GB2312" w:cs="Times New Roman"/>
                <w:szCs w:val="21"/>
              </w:rPr>
              <w:t>442</w:t>
            </w:r>
          </w:p>
        </w:tc>
        <w:tc>
          <w:tcPr>
            <w:tcW w:w="951" w:type="dxa"/>
          </w:tcPr>
          <w:p>
            <w:pPr>
              <w:spacing w:line="300" w:lineRule="exact"/>
              <w:rPr>
                <w:rFonts w:ascii="Times New Roman" w:hAnsi="Times New Roman" w:eastAsia="仿宋_GB2312" w:cs="Times New Roman"/>
                <w:szCs w:val="21"/>
              </w:rPr>
            </w:pPr>
            <w:r>
              <w:rPr>
                <w:rFonts w:hint="eastAsia" w:ascii="Times New Roman" w:hAnsi="Times New Roman" w:eastAsia="仿宋_GB2312" w:cs="Times New Roman"/>
                <w:szCs w:val="21"/>
              </w:rPr>
              <w:t>552</w:t>
            </w:r>
          </w:p>
        </w:tc>
        <w:tc>
          <w:tcPr>
            <w:tcW w:w="1134" w:type="dxa"/>
          </w:tcPr>
          <w:p>
            <w:pPr>
              <w:spacing w:line="300" w:lineRule="exact"/>
              <w:rPr>
                <w:rFonts w:ascii="Times New Roman" w:hAnsi="Times New Roman" w:eastAsia="仿宋_GB2312" w:cs="Times New Roman"/>
                <w:szCs w:val="21"/>
              </w:rPr>
            </w:pPr>
            <w:r>
              <w:rPr>
                <w:rFonts w:hint="eastAsia" w:ascii="Times New Roman" w:hAnsi="Times New Roman" w:eastAsia="仿宋_GB2312" w:cs="Times New Roman"/>
                <w:szCs w:val="21"/>
              </w:rPr>
              <w:t>384</w:t>
            </w:r>
          </w:p>
        </w:tc>
        <w:tc>
          <w:tcPr>
            <w:tcW w:w="1240" w:type="dxa"/>
          </w:tcPr>
          <w:p>
            <w:pPr>
              <w:spacing w:line="300" w:lineRule="exact"/>
              <w:rPr>
                <w:rFonts w:ascii="Times New Roman" w:hAnsi="Times New Roman" w:eastAsia="仿宋_GB2312" w:cs="Times New Roman"/>
                <w:szCs w:val="21"/>
              </w:rPr>
            </w:pPr>
            <w:r>
              <w:rPr>
                <w:rFonts w:hint="eastAsia" w:ascii="Times New Roman" w:hAnsi="Times New Roman" w:eastAsia="仿宋_GB2312" w:cs="Times New Roman"/>
                <w:szCs w:val="21"/>
              </w:rPr>
              <w:t>493</w:t>
            </w:r>
          </w:p>
        </w:tc>
        <w:tc>
          <w:tcPr>
            <w:tcW w:w="1931" w:type="dxa"/>
          </w:tcPr>
          <w:p>
            <w:pPr>
              <w:spacing w:line="300" w:lineRule="exact"/>
              <w:rPr>
                <w:rFonts w:ascii="Times New Roman" w:hAnsi="Times New Roman" w:eastAsia="仿宋_GB2312" w:cs="Times New Roman"/>
                <w:szCs w:val="21"/>
              </w:rPr>
            </w:pPr>
          </w:p>
        </w:tc>
      </w:tr>
    </w:tbl>
    <w:p>
      <w:pPr>
        <w:pStyle w:val="3"/>
        <w:spacing w:line="580" w:lineRule="exact"/>
        <w:ind w:left="395" w:leftChars="147" w:hanging="86" w:hangingChars="27"/>
        <w:rPr>
          <w:rFonts w:ascii="Times New Roman" w:hAnsi="Times New Roman" w:eastAsia="楷体_GB2312" w:cs="Times New Roman"/>
          <w:b w:val="0"/>
        </w:rPr>
      </w:pPr>
      <w:r>
        <w:rPr>
          <w:rFonts w:ascii="Times New Roman" w:hAnsi="Times New Roman" w:eastAsia="楷体_GB2312" w:cs="Times New Roman"/>
          <w:b w:val="0"/>
        </w:rPr>
        <w:t>（三）教师队伍</w:t>
      </w:r>
    </w:p>
    <w:p>
      <w:pPr>
        <w:tabs>
          <w:tab w:val="left" w:pos="1071"/>
        </w:tabs>
        <w:spacing w:line="580" w:lineRule="exact"/>
        <w:ind w:firstLine="643" w:firstLineChars="200"/>
        <w:rPr>
          <w:rFonts w:hint="eastAsia" w:ascii="Times New Roman" w:hAnsi="Times New Roman" w:eastAsia="仿宋_GB2312" w:cs="Times New Roman"/>
          <w:sz w:val="32"/>
          <w:lang w:eastAsia="zh-CN"/>
        </w:rPr>
      </w:pPr>
      <w:r>
        <w:rPr>
          <w:rFonts w:ascii="Times New Roman" w:hAnsi="Times New Roman" w:eastAsia="仿宋_GB2312" w:cs="Times New Roman"/>
          <w:b/>
          <w:sz w:val="32"/>
        </w:rPr>
        <w:t>1.教师基本情况</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2020年专任教师中一体化教师93人，占比67.88%；兼职教师16人，占比11.67%；</w:t>
      </w:r>
      <w:r>
        <w:rPr>
          <w:rFonts w:hint="eastAsia" w:ascii="Times New Roman" w:hAnsi="仿宋_GB2312" w:eastAsia="仿宋_GB2312" w:cs="Times New Roman"/>
          <w:sz w:val="32"/>
        </w:rPr>
        <w:t>本科学历108人，占专任教师78.83%，硕士研究生学历5人，占专任教师3.65%；高技能教师80人，占比58.39%；高级讲师39人，占专任教师28.46%；思想政治课专任教师10人。</w:t>
      </w:r>
    </w:p>
    <w:p>
      <w:pPr>
        <w:tabs>
          <w:tab w:val="left" w:pos="1071"/>
        </w:tabs>
        <w:spacing w:line="580" w:lineRule="exact"/>
        <w:ind w:firstLine="640" w:firstLineChars="200"/>
      </w:pPr>
      <w:r>
        <w:rPr>
          <w:rFonts w:hint="eastAsia" w:ascii="Times New Roman" w:hAnsi="Times New Roman" w:eastAsia="仿宋_GB2312" w:cs="Times New Roman"/>
          <w:sz w:val="32"/>
        </w:rPr>
        <w:t>2021年一体化教师89人（有4名教师退休），占比67.42%；兼职教师16人，占比12.12%；</w:t>
      </w:r>
      <w:r>
        <w:rPr>
          <w:rFonts w:hint="eastAsia" w:ascii="Times New Roman" w:hAnsi="仿宋_GB2312" w:eastAsia="仿宋_GB2312" w:cs="Times New Roman"/>
          <w:sz w:val="32"/>
        </w:rPr>
        <w:t>本科学历106人，占专任教师80.30%，硕士研究生学历5人，占专任教师3.79%；高技能教师77人，占比58.33%；高级讲师36人，占专任教师27.27%。思想政治课专任教师9人。</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表11 2020-2021年师资队伍基本情况一览表</w:t>
      </w:r>
    </w:p>
    <w:tbl>
      <w:tblPr>
        <w:tblStyle w:val="9"/>
        <w:tblW w:w="8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6"/>
        <w:gridCol w:w="752"/>
        <w:gridCol w:w="724"/>
        <w:gridCol w:w="752"/>
        <w:gridCol w:w="729"/>
        <w:gridCol w:w="612"/>
        <w:gridCol w:w="818"/>
        <w:gridCol w:w="726"/>
        <w:gridCol w:w="792"/>
        <w:gridCol w:w="839"/>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教职工总数（人）</w:t>
            </w:r>
          </w:p>
        </w:tc>
        <w:tc>
          <w:tcPr>
            <w:tcW w:w="1476"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专任教师</w:t>
            </w:r>
          </w:p>
        </w:tc>
        <w:tc>
          <w:tcPr>
            <w:tcW w:w="1481"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在编教师</w:t>
            </w:r>
          </w:p>
        </w:tc>
        <w:tc>
          <w:tcPr>
            <w:tcW w:w="1430" w:type="dxa"/>
            <w:gridSpan w:val="2"/>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校外兼职教师</w:t>
            </w:r>
          </w:p>
        </w:tc>
        <w:tc>
          <w:tcPr>
            <w:tcW w:w="1518" w:type="dxa"/>
            <w:gridSpan w:val="2"/>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一体化教师</w:t>
            </w:r>
          </w:p>
        </w:tc>
        <w:tc>
          <w:tcPr>
            <w:tcW w:w="1685" w:type="dxa"/>
            <w:gridSpan w:val="2"/>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专业带头人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6" w:type="dxa"/>
            <w:vMerge w:val="continue"/>
          </w:tcPr>
          <w:p>
            <w:pPr>
              <w:tabs>
                <w:tab w:val="left" w:pos="1071"/>
              </w:tabs>
              <w:spacing w:line="300" w:lineRule="exact"/>
              <w:jc w:val="center"/>
              <w:rPr>
                <w:rFonts w:ascii="Times New Roman" w:hAnsi="Times New Roman" w:eastAsia="仿宋_GB2312" w:cs="Times New Roman"/>
                <w:b/>
                <w:szCs w:val="21"/>
              </w:rPr>
            </w:pPr>
          </w:p>
        </w:tc>
        <w:tc>
          <w:tcPr>
            <w:tcW w:w="752"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724"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752"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729"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612"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818"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726"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792"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839"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846"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216" w:type="dxa"/>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156</w:t>
            </w:r>
          </w:p>
        </w:tc>
        <w:tc>
          <w:tcPr>
            <w:tcW w:w="752"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137</w:t>
            </w:r>
          </w:p>
        </w:tc>
        <w:tc>
          <w:tcPr>
            <w:tcW w:w="72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132</w:t>
            </w:r>
          </w:p>
        </w:tc>
        <w:tc>
          <w:tcPr>
            <w:tcW w:w="752"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137</w:t>
            </w:r>
          </w:p>
        </w:tc>
        <w:tc>
          <w:tcPr>
            <w:tcW w:w="72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132</w:t>
            </w:r>
          </w:p>
        </w:tc>
        <w:tc>
          <w:tcPr>
            <w:tcW w:w="612"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16</w:t>
            </w:r>
          </w:p>
        </w:tc>
        <w:tc>
          <w:tcPr>
            <w:tcW w:w="81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16</w:t>
            </w:r>
          </w:p>
        </w:tc>
        <w:tc>
          <w:tcPr>
            <w:tcW w:w="72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93</w:t>
            </w:r>
          </w:p>
        </w:tc>
        <w:tc>
          <w:tcPr>
            <w:tcW w:w="792"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89</w:t>
            </w:r>
          </w:p>
        </w:tc>
        <w:tc>
          <w:tcPr>
            <w:tcW w:w="83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w:t>
            </w:r>
          </w:p>
        </w:tc>
        <w:tc>
          <w:tcPr>
            <w:tcW w:w="84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2.专任教师数量与结构</w:t>
      </w:r>
    </w:p>
    <w:p>
      <w:pPr>
        <w:pStyle w:val="4"/>
        <w:ind w:left="0" w:firstLine="640"/>
        <w:rPr>
          <w:rFonts w:ascii="Times New Roman" w:hAnsi="仿宋_GB2312" w:eastAsia="仿宋_GB2312" w:cs="Times New Roman"/>
          <w:sz w:val="32"/>
        </w:rPr>
      </w:pPr>
      <w:r>
        <w:rPr>
          <w:rFonts w:hint="eastAsia" w:ascii="Times New Roman" w:hAnsi="仿宋_GB2312" w:eastAsia="仿宋_GB2312" w:cs="Times New Roman"/>
          <w:sz w:val="32"/>
        </w:rPr>
        <w:t>2020年专任教师137人，在校生1357人，生师比9.91:1，公共课教师26人，占专任教师总数18.98%，专业课教师111人，占专任教师81.02%。专任教师中本科以下学历24人，占专任教师17.51%，本科学历108人，占专任教师78.83%，硕士研究生学历5人，占专任教师3.65%。专任教师中讲师48人，占专任教师35.03%，高级讲师39人，占专任教师28.46%。</w:t>
      </w:r>
    </w:p>
    <w:p>
      <w:pPr>
        <w:pStyle w:val="4"/>
        <w:ind w:left="0" w:firstLine="640"/>
      </w:pPr>
      <w:r>
        <w:rPr>
          <w:rFonts w:hint="eastAsia" w:ascii="Times New Roman" w:hAnsi="仿宋_GB2312" w:eastAsia="仿宋_GB2312" w:cs="Times New Roman"/>
          <w:sz w:val="32"/>
        </w:rPr>
        <w:t>2021年专任教师132人（退休5人），在校生1333人，生师比10.1:1，文化课教师25人，占专任教师总数18.94%，专业课教师107人，占专任教师81.06%。专任教师中本科以下学历21人，占专任教师15.91%，本科学历106人，占专任教师80.30%，硕士研究生学历5人，占专任教师3.79%。专任教师中讲师51人，占专任教师38.63%，高级讲师36人，占专任教师27.27%。</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表12 2020-2021年专任教师队伍情况一览表</w:t>
      </w:r>
    </w:p>
    <w:tbl>
      <w:tblPr>
        <w:tblStyle w:val="9"/>
        <w:tblW w:w="9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9"/>
        <w:gridCol w:w="515"/>
        <w:gridCol w:w="567"/>
        <w:gridCol w:w="536"/>
        <w:gridCol w:w="598"/>
        <w:gridCol w:w="567"/>
        <w:gridCol w:w="567"/>
        <w:gridCol w:w="567"/>
        <w:gridCol w:w="567"/>
        <w:gridCol w:w="567"/>
        <w:gridCol w:w="567"/>
        <w:gridCol w:w="567"/>
        <w:gridCol w:w="567"/>
        <w:gridCol w:w="548"/>
        <w:gridCol w:w="555"/>
        <w:gridCol w:w="12"/>
        <w:gridCol w:w="555"/>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9"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082" w:type="dxa"/>
            <w:gridSpan w:val="2"/>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公共基础课教师</w:t>
            </w:r>
          </w:p>
        </w:tc>
        <w:tc>
          <w:tcPr>
            <w:tcW w:w="1134" w:type="dxa"/>
            <w:gridSpan w:val="2"/>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技术理论课教师</w:t>
            </w:r>
          </w:p>
        </w:tc>
        <w:tc>
          <w:tcPr>
            <w:tcW w:w="1134" w:type="dxa"/>
            <w:gridSpan w:val="2"/>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实习指导</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教师</w:t>
            </w:r>
          </w:p>
        </w:tc>
        <w:tc>
          <w:tcPr>
            <w:tcW w:w="3402" w:type="dxa"/>
            <w:gridSpan w:val="6"/>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学历</w:t>
            </w:r>
          </w:p>
        </w:tc>
        <w:tc>
          <w:tcPr>
            <w:tcW w:w="2150" w:type="dxa"/>
            <w:gridSpan w:val="5"/>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9"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1082" w:type="dxa"/>
            <w:gridSpan w:val="2"/>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1134" w:type="dxa"/>
            <w:gridSpan w:val="2"/>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1134" w:type="dxa"/>
            <w:gridSpan w:val="2"/>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1134"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本科以下</w:t>
            </w:r>
          </w:p>
        </w:tc>
        <w:tc>
          <w:tcPr>
            <w:tcW w:w="1134"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本科</w:t>
            </w:r>
          </w:p>
        </w:tc>
        <w:tc>
          <w:tcPr>
            <w:tcW w:w="1134"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硕士以上</w:t>
            </w:r>
          </w:p>
        </w:tc>
        <w:tc>
          <w:tcPr>
            <w:tcW w:w="1115" w:type="dxa"/>
            <w:gridSpan w:val="3"/>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中级</w:t>
            </w:r>
          </w:p>
        </w:tc>
        <w:tc>
          <w:tcPr>
            <w:tcW w:w="1035"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高级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9"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51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5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536"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59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5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5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5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5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5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5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5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5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54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55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567"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480"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47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51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26</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18.98%</w:t>
            </w:r>
          </w:p>
        </w:tc>
        <w:tc>
          <w:tcPr>
            <w:tcW w:w="536"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58</w:t>
            </w:r>
          </w:p>
        </w:tc>
        <w:tc>
          <w:tcPr>
            <w:tcW w:w="59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42.33%</w:t>
            </w:r>
          </w:p>
        </w:tc>
        <w:tc>
          <w:tcPr>
            <w:tcW w:w="5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53</w:t>
            </w:r>
          </w:p>
        </w:tc>
        <w:tc>
          <w:tcPr>
            <w:tcW w:w="5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38.68%</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24</w:t>
            </w:r>
          </w:p>
        </w:tc>
        <w:tc>
          <w:tcPr>
            <w:tcW w:w="567" w:type="dxa"/>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17.51</w:t>
            </w:r>
            <w:r>
              <w:rPr>
                <w:rFonts w:hint="eastAsia" w:ascii="Times New Roman" w:hAnsi="Times New Roman" w:eastAsia="仿宋_GB2312" w:cs="Times New Roman"/>
                <w:szCs w:val="21"/>
              </w:rPr>
              <w:t>%</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108</w:t>
            </w:r>
          </w:p>
        </w:tc>
        <w:tc>
          <w:tcPr>
            <w:tcW w:w="567" w:type="dxa"/>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78.83%</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3.65%</w:t>
            </w:r>
          </w:p>
        </w:tc>
        <w:tc>
          <w:tcPr>
            <w:tcW w:w="54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48</w:t>
            </w:r>
          </w:p>
        </w:tc>
        <w:tc>
          <w:tcPr>
            <w:tcW w:w="555" w:type="dxa"/>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35.03%</w:t>
            </w:r>
          </w:p>
        </w:tc>
        <w:tc>
          <w:tcPr>
            <w:tcW w:w="567" w:type="dxa"/>
            <w:gridSpan w:val="2"/>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39</w:t>
            </w:r>
          </w:p>
        </w:tc>
        <w:tc>
          <w:tcPr>
            <w:tcW w:w="480" w:type="dxa"/>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jc w:val="center"/>
        </w:trPr>
        <w:tc>
          <w:tcPr>
            <w:tcW w:w="47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51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25</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18.94%</w:t>
            </w:r>
          </w:p>
        </w:tc>
        <w:tc>
          <w:tcPr>
            <w:tcW w:w="536"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57</w:t>
            </w:r>
          </w:p>
        </w:tc>
        <w:tc>
          <w:tcPr>
            <w:tcW w:w="59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43.18%</w:t>
            </w:r>
          </w:p>
        </w:tc>
        <w:tc>
          <w:tcPr>
            <w:tcW w:w="5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50</w:t>
            </w:r>
          </w:p>
        </w:tc>
        <w:tc>
          <w:tcPr>
            <w:tcW w:w="5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37.87%</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21</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15.91%</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106</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80.30%</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w:t>
            </w:r>
          </w:p>
        </w:tc>
        <w:tc>
          <w:tcPr>
            <w:tcW w:w="5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3.79%</w:t>
            </w:r>
          </w:p>
        </w:tc>
        <w:tc>
          <w:tcPr>
            <w:tcW w:w="54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51</w:t>
            </w:r>
          </w:p>
        </w:tc>
        <w:tc>
          <w:tcPr>
            <w:tcW w:w="555" w:type="dxa"/>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38.63%</w:t>
            </w:r>
          </w:p>
        </w:tc>
        <w:tc>
          <w:tcPr>
            <w:tcW w:w="567" w:type="dxa"/>
            <w:gridSpan w:val="2"/>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36</w:t>
            </w:r>
          </w:p>
        </w:tc>
        <w:tc>
          <w:tcPr>
            <w:tcW w:w="480" w:type="dxa"/>
          </w:tcPr>
          <w:p>
            <w:pPr>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27.27%</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3.教师团队建设情况</w:t>
      </w:r>
    </w:p>
    <w:p>
      <w:pPr>
        <w:tabs>
          <w:tab w:val="left" w:pos="1071"/>
        </w:tabs>
        <w:spacing w:line="580" w:lineRule="exact"/>
        <w:ind w:firstLine="640" w:firstLineChars="200"/>
      </w:pPr>
      <w:r>
        <w:rPr>
          <w:rFonts w:hint="eastAsia" w:ascii="Times New Roman" w:hAnsi="Times New Roman" w:eastAsia="仿宋_GB2312" w:cs="Times New Roman"/>
          <w:sz w:val="32"/>
        </w:rPr>
        <w:t>2020年12月，经中共自贡市委组织部、市人社局、市经信委、市科技局、市财政局五部门审核、考察、评议，认定了学校申报的“自贡市郑悦技能大师工作室”。6人次被授予“四川技能明星”、“盐都工匠”、“自贡市数控车工名师”、“自贡市汽修维修名师”称号。2020年137名专任教师中有124名教师具有教师资格证书，取证率为90.51%；2021年132名专任教师中有122名教师具有教师资格证书，取证率为92.42%。2020年，72名专任教师取得初级工、中级工、高级工职业资格证书，36名专任教师取得技师和高级技师职业资格证书；2021年，68名专任教师取得初级工、中级工、高级工职业资格证书，35名专任教师取得技师和高级技师职业资格证书。</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表13 2020-2021年教师团队建设情况一览表</w:t>
      </w:r>
    </w:p>
    <w:tbl>
      <w:tblPr>
        <w:tblStyle w:val="9"/>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3"/>
        <w:gridCol w:w="744"/>
        <w:gridCol w:w="770"/>
        <w:gridCol w:w="1303"/>
        <w:gridCol w:w="658"/>
        <w:gridCol w:w="470"/>
        <w:gridCol w:w="658"/>
        <w:gridCol w:w="486"/>
        <w:gridCol w:w="658"/>
        <w:gridCol w:w="516"/>
        <w:gridCol w:w="369"/>
        <w:gridCol w:w="438"/>
        <w:gridCol w:w="408"/>
        <w:gridCol w:w="420"/>
        <w:gridCol w:w="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5" w:type="dxa"/>
            <w:vMerge w:val="restart"/>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769" w:type="dxa"/>
            <w:vMerge w:val="restart"/>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技能大师工作室</w:t>
            </w:r>
          </w:p>
        </w:tc>
        <w:tc>
          <w:tcPr>
            <w:tcW w:w="796" w:type="dxa"/>
            <w:vMerge w:val="restart"/>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技术能手数</w:t>
            </w:r>
          </w:p>
        </w:tc>
        <w:tc>
          <w:tcPr>
            <w:tcW w:w="4127" w:type="dxa"/>
            <w:gridSpan w:val="6"/>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教师持证情况</w:t>
            </w:r>
          </w:p>
        </w:tc>
        <w:tc>
          <w:tcPr>
            <w:tcW w:w="2707" w:type="dxa"/>
            <w:gridSpan w:val="6"/>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教学团队建设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5" w:type="dxa"/>
            <w:vMerge w:val="continue"/>
            <w:vAlign w:val="center"/>
          </w:tcPr>
          <w:p>
            <w:pPr>
              <w:tabs>
                <w:tab w:val="left" w:pos="1071"/>
              </w:tabs>
              <w:jc w:val="center"/>
              <w:rPr>
                <w:rFonts w:ascii="Times New Roman" w:hAnsi="Times New Roman" w:eastAsia="仿宋_GB2312" w:cs="Times New Roman"/>
                <w:b/>
                <w:szCs w:val="21"/>
              </w:rPr>
            </w:pPr>
          </w:p>
        </w:tc>
        <w:tc>
          <w:tcPr>
            <w:tcW w:w="769" w:type="dxa"/>
            <w:vMerge w:val="continue"/>
            <w:vAlign w:val="center"/>
          </w:tcPr>
          <w:p>
            <w:pPr>
              <w:tabs>
                <w:tab w:val="left" w:pos="1071"/>
              </w:tabs>
              <w:jc w:val="center"/>
              <w:rPr>
                <w:rFonts w:ascii="Times New Roman" w:hAnsi="Times New Roman" w:eastAsia="仿宋_GB2312" w:cs="Times New Roman"/>
                <w:b/>
                <w:szCs w:val="21"/>
              </w:rPr>
            </w:pPr>
          </w:p>
        </w:tc>
        <w:tc>
          <w:tcPr>
            <w:tcW w:w="796" w:type="dxa"/>
            <w:vMerge w:val="continue"/>
          </w:tcPr>
          <w:p>
            <w:pPr>
              <w:tabs>
                <w:tab w:val="left" w:pos="1071"/>
              </w:tabs>
              <w:jc w:val="center"/>
              <w:rPr>
                <w:rFonts w:ascii="Times New Roman" w:hAnsi="Times New Roman" w:eastAsia="仿宋_GB2312" w:cs="Times New Roman"/>
                <w:b/>
                <w:szCs w:val="21"/>
              </w:rPr>
            </w:pPr>
          </w:p>
        </w:tc>
        <w:tc>
          <w:tcPr>
            <w:tcW w:w="2008" w:type="dxa"/>
            <w:gridSpan w:val="2"/>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教师资格证</w:t>
            </w:r>
          </w:p>
        </w:tc>
        <w:tc>
          <w:tcPr>
            <w:tcW w:w="1140" w:type="dxa"/>
            <w:gridSpan w:val="2"/>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技师以下职业资格证书（技能等级证书）</w:t>
            </w:r>
          </w:p>
        </w:tc>
        <w:tc>
          <w:tcPr>
            <w:tcW w:w="979" w:type="dxa"/>
            <w:gridSpan w:val="2"/>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技师以上职业资格证书（技能等级证书）</w:t>
            </w:r>
          </w:p>
        </w:tc>
        <w:tc>
          <w:tcPr>
            <w:tcW w:w="906" w:type="dxa"/>
            <w:gridSpan w:val="2"/>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省级名师</w:t>
            </w:r>
          </w:p>
        </w:tc>
        <w:tc>
          <w:tcPr>
            <w:tcW w:w="855" w:type="dxa"/>
            <w:gridSpan w:val="2"/>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市（州）级名师</w:t>
            </w:r>
          </w:p>
        </w:tc>
        <w:tc>
          <w:tcPr>
            <w:tcW w:w="946" w:type="dxa"/>
            <w:gridSpan w:val="2"/>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教学名师团队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5" w:type="dxa"/>
            <w:vMerge w:val="continue"/>
            <w:vAlign w:val="center"/>
          </w:tcPr>
          <w:p>
            <w:pPr>
              <w:tabs>
                <w:tab w:val="left" w:pos="1071"/>
              </w:tabs>
              <w:jc w:val="center"/>
              <w:rPr>
                <w:rFonts w:ascii="Times New Roman" w:hAnsi="Times New Roman" w:eastAsia="仿宋_GB2312" w:cs="Times New Roman"/>
                <w:b/>
                <w:szCs w:val="21"/>
              </w:rPr>
            </w:pPr>
          </w:p>
        </w:tc>
        <w:tc>
          <w:tcPr>
            <w:tcW w:w="769"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796"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1350"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658"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482"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658"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499"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480"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530"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376"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442"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413"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c>
          <w:tcPr>
            <w:tcW w:w="430"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tc>
        <w:tc>
          <w:tcPr>
            <w:tcW w:w="516" w:type="dxa"/>
            <w:vAlign w:val="center"/>
          </w:tcPr>
          <w:p>
            <w:pPr>
              <w:tabs>
                <w:tab w:val="left" w:pos="1071"/>
              </w:tabs>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55" w:type="dxa"/>
          </w:tcPr>
          <w:p>
            <w:pPr>
              <w:tabs>
                <w:tab w:val="left" w:pos="1071"/>
              </w:tabs>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769"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796"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7</w:t>
            </w:r>
          </w:p>
        </w:tc>
        <w:tc>
          <w:tcPr>
            <w:tcW w:w="1350"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124</w:t>
            </w:r>
          </w:p>
        </w:tc>
        <w:tc>
          <w:tcPr>
            <w:tcW w:w="658"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90.51%</w:t>
            </w:r>
          </w:p>
        </w:tc>
        <w:tc>
          <w:tcPr>
            <w:tcW w:w="482"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72</w:t>
            </w:r>
          </w:p>
        </w:tc>
        <w:tc>
          <w:tcPr>
            <w:tcW w:w="658"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52.55%</w:t>
            </w:r>
          </w:p>
        </w:tc>
        <w:tc>
          <w:tcPr>
            <w:tcW w:w="499"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36</w:t>
            </w:r>
          </w:p>
        </w:tc>
        <w:tc>
          <w:tcPr>
            <w:tcW w:w="480"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26.27%</w:t>
            </w:r>
          </w:p>
        </w:tc>
        <w:tc>
          <w:tcPr>
            <w:tcW w:w="530"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376"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442"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413"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430"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516"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455" w:type="dxa"/>
          </w:tcPr>
          <w:p>
            <w:pPr>
              <w:tabs>
                <w:tab w:val="left" w:pos="1071"/>
              </w:tabs>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769"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796"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7</w:t>
            </w:r>
          </w:p>
        </w:tc>
        <w:tc>
          <w:tcPr>
            <w:tcW w:w="1350"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122</w:t>
            </w:r>
          </w:p>
        </w:tc>
        <w:tc>
          <w:tcPr>
            <w:tcW w:w="658"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92.42%</w:t>
            </w:r>
          </w:p>
        </w:tc>
        <w:tc>
          <w:tcPr>
            <w:tcW w:w="482"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68</w:t>
            </w:r>
          </w:p>
        </w:tc>
        <w:tc>
          <w:tcPr>
            <w:tcW w:w="658"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51.51%</w:t>
            </w:r>
          </w:p>
        </w:tc>
        <w:tc>
          <w:tcPr>
            <w:tcW w:w="499"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35</w:t>
            </w:r>
          </w:p>
        </w:tc>
        <w:tc>
          <w:tcPr>
            <w:tcW w:w="480"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26.51%</w:t>
            </w:r>
          </w:p>
        </w:tc>
        <w:tc>
          <w:tcPr>
            <w:tcW w:w="530"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376"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442"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413"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430"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516" w:type="dxa"/>
          </w:tcPr>
          <w:p>
            <w:pPr>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bl>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（四）设施设备。</w:t>
      </w:r>
    </w:p>
    <w:p>
      <w:pPr>
        <w:pStyle w:val="5"/>
        <w:ind w:firstLine="640" w:firstLineChars="200"/>
      </w:pPr>
      <w:r>
        <w:rPr>
          <w:rFonts w:hint="eastAsia" w:ascii="Times New Roman" w:hAnsi="仿宋_GB2312" w:eastAsia="仿宋_GB2312" w:cs="Times New Roman"/>
        </w:rPr>
        <w:t xml:space="preserve">目前学校共建有3个校内实训基地，交通运输类、加工制造类和信息技术类各1个，实训室共计27个，实训仪器设备共计1733万元，工位数共计974个。生均教学仪器设备2020年20606元/生，2021年29725元/生。生均实训实习工位数2020年1.16个/生，2021年1.67个/生。 </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表14 2020-2021年校内实训基地建设情况一览表</w:t>
      </w:r>
    </w:p>
    <w:tbl>
      <w:tblPr>
        <w:tblStyle w:val="9"/>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6"/>
        <w:gridCol w:w="1374"/>
        <w:gridCol w:w="979"/>
        <w:gridCol w:w="949"/>
        <w:gridCol w:w="1007"/>
        <w:gridCol w:w="1658"/>
        <w:gridCol w:w="612"/>
        <w:gridCol w:w="818"/>
        <w:gridCol w:w="726"/>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6"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序号</w:t>
            </w:r>
          </w:p>
        </w:tc>
        <w:tc>
          <w:tcPr>
            <w:tcW w:w="1374"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专业大类名称</w:t>
            </w:r>
          </w:p>
        </w:tc>
        <w:tc>
          <w:tcPr>
            <w:tcW w:w="1928"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实训室总数（个）</w:t>
            </w:r>
          </w:p>
        </w:tc>
        <w:tc>
          <w:tcPr>
            <w:tcW w:w="2665"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教学、实训仪器设备值</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（万元）</w:t>
            </w:r>
          </w:p>
        </w:tc>
        <w:tc>
          <w:tcPr>
            <w:tcW w:w="1430" w:type="dxa"/>
            <w:gridSpan w:val="2"/>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生均设备值</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（元/生）</w:t>
            </w:r>
          </w:p>
        </w:tc>
        <w:tc>
          <w:tcPr>
            <w:tcW w:w="1518" w:type="dxa"/>
            <w:gridSpan w:val="2"/>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工位数</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6" w:type="dxa"/>
            <w:vMerge w:val="continue"/>
          </w:tcPr>
          <w:p>
            <w:pPr>
              <w:tabs>
                <w:tab w:val="left" w:pos="1071"/>
              </w:tabs>
              <w:spacing w:line="300" w:lineRule="exact"/>
              <w:jc w:val="center"/>
              <w:rPr>
                <w:rFonts w:ascii="Times New Roman" w:hAnsi="Times New Roman" w:eastAsia="仿宋_GB2312" w:cs="Times New Roman"/>
                <w:b/>
                <w:szCs w:val="21"/>
              </w:rPr>
            </w:pPr>
          </w:p>
        </w:tc>
        <w:tc>
          <w:tcPr>
            <w:tcW w:w="1374" w:type="dxa"/>
            <w:vMerge w:val="continue"/>
          </w:tcPr>
          <w:p>
            <w:pPr>
              <w:tabs>
                <w:tab w:val="left" w:pos="1071"/>
              </w:tabs>
              <w:spacing w:line="300" w:lineRule="exact"/>
              <w:jc w:val="center"/>
              <w:rPr>
                <w:rFonts w:ascii="Times New Roman" w:hAnsi="Times New Roman" w:eastAsia="仿宋_GB2312" w:cs="Times New Roman"/>
                <w:b/>
                <w:szCs w:val="21"/>
              </w:rPr>
            </w:pPr>
          </w:p>
        </w:tc>
        <w:tc>
          <w:tcPr>
            <w:tcW w:w="979"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949"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1007"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1658"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612"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818"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726"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792" w:type="dxa"/>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616"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137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交通运输类</w:t>
            </w:r>
          </w:p>
        </w:tc>
        <w:tc>
          <w:tcPr>
            <w:tcW w:w="97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w:t>
            </w:r>
          </w:p>
        </w:tc>
        <w:tc>
          <w:tcPr>
            <w:tcW w:w="94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w:t>
            </w:r>
          </w:p>
        </w:tc>
        <w:tc>
          <w:tcPr>
            <w:tcW w:w="100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371</w:t>
            </w:r>
          </w:p>
        </w:tc>
        <w:tc>
          <w:tcPr>
            <w:tcW w:w="165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371</w:t>
            </w:r>
          </w:p>
        </w:tc>
        <w:tc>
          <w:tcPr>
            <w:tcW w:w="61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6320</w:t>
            </w:r>
          </w:p>
        </w:tc>
        <w:tc>
          <w:tcPr>
            <w:tcW w:w="8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9661</w:t>
            </w:r>
          </w:p>
        </w:tc>
        <w:tc>
          <w:tcPr>
            <w:tcW w:w="726"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460</w:t>
            </w:r>
          </w:p>
        </w:tc>
        <w:tc>
          <w:tcPr>
            <w:tcW w:w="79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616"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137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加工制造类</w:t>
            </w:r>
          </w:p>
        </w:tc>
        <w:tc>
          <w:tcPr>
            <w:tcW w:w="97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w:t>
            </w:r>
          </w:p>
        </w:tc>
        <w:tc>
          <w:tcPr>
            <w:tcW w:w="94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w:t>
            </w:r>
          </w:p>
        </w:tc>
        <w:tc>
          <w:tcPr>
            <w:tcW w:w="100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912</w:t>
            </w:r>
          </w:p>
        </w:tc>
        <w:tc>
          <w:tcPr>
            <w:tcW w:w="165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912</w:t>
            </w:r>
          </w:p>
        </w:tc>
        <w:tc>
          <w:tcPr>
            <w:tcW w:w="61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67058</w:t>
            </w:r>
          </w:p>
        </w:tc>
        <w:tc>
          <w:tcPr>
            <w:tcW w:w="8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82909</w:t>
            </w:r>
          </w:p>
        </w:tc>
        <w:tc>
          <w:tcPr>
            <w:tcW w:w="726"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239</w:t>
            </w:r>
          </w:p>
        </w:tc>
        <w:tc>
          <w:tcPr>
            <w:tcW w:w="79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616"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137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信息技术类</w:t>
            </w:r>
          </w:p>
        </w:tc>
        <w:tc>
          <w:tcPr>
            <w:tcW w:w="97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w:t>
            </w:r>
          </w:p>
        </w:tc>
        <w:tc>
          <w:tcPr>
            <w:tcW w:w="94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w:t>
            </w:r>
          </w:p>
        </w:tc>
        <w:tc>
          <w:tcPr>
            <w:tcW w:w="100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450</w:t>
            </w:r>
          </w:p>
        </w:tc>
        <w:tc>
          <w:tcPr>
            <w:tcW w:w="165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450</w:t>
            </w:r>
          </w:p>
        </w:tc>
        <w:tc>
          <w:tcPr>
            <w:tcW w:w="61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38135</w:t>
            </w:r>
          </w:p>
        </w:tc>
        <w:tc>
          <w:tcPr>
            <w:tcW w:w="8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50561</w:t>
            </w:r>
          </w:p>
        </w:tc>
        <w:tc>
          <w:tcPr>
            <w:tcW w:w="726"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275</w:t>
            </w:r>
          </w:p>
        </w:tc>
        <w:tc>
          <w:tcPr>
            <w:tcW w:w="79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275</w:t>
            </w:r>
          </w:p>
        </w:tc>
      </w:tr>
    </w:tbl>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（五）信息化条件与资源</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学校于2012年通过政府采购建立了“四川自贡市高级技工学校数字化校园管理系统”，包含教务、招生、实习、工资、人事等板块，实现学校数字化管理。学校建成了覆盖整个校园的局域网，拥有多媒体教师68间，计算机教室6间（设学生用计算机260台），校园网络使用110M光纤接入因特网，主干网络兆宽达千兆级。学校建有广播中心、监控中心，教师人手配备笔记本电脑一台。学校拥有资质图书52045册，报刊杂志4383册。</w:t>
      </w:r>
    </w:p>
    <w:p>
      <w:pPr>
        <w:tabs>
          <w:tab w:val="left" w:pos="1071"/>
        </w:tabs>
        <w:spacing w:line="58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表15 2020-2021年信息化条件建设情况一览表</w:t>
      </w:r>
    </w:p>
    <w:tbl>
      <w:tblPr>
        <w:tblStyle w:val="9"/>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6"/>
        <w:gridCol w:w="1374"/>
        <w:gridCol w:w="1078"/>
        <w:gridCol w:w="979"/>
        <w:gridCol w:w="949"/>
        <w:gridCol w:w="1007"/>
        <w:gridCol w:w="1148"/>
        <w:gridCol w:w="612"/>
        <w:gridCol w:w="818"/>
        <w:gridCol w:w="726"/>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6"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374"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出口总带宽</w:t>
            </w:r>
          </w:p>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（Mbps）</w:t>
            </w:r>
          </w:p>
        </w:tc>
        <w:tc>
          <w:tcPr>
            <w:tcW w:w="1078" w:type="dxa"/>
            <w:vMerge w:val="restart"/>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校园网主干最大带宽</w:t>
            </w:r>
          </w:p>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（Mbps）</w:t>
            </w:r>
          </w:p>
        </w:tc>
        <w:tc>
          <w:tcPr>
            <w:tcW w:w="1928"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现有管理信息系统总量（软件系统）</w:t>
            </w:r>
          </w:p>
        </w:tc>
        <w:tc>
          <w:tcPr>
            <w:tcW w:w="2155"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多媒体教室数</w:t>
            </w:r>
          </w:p>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430"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教学用计算机总数</w:t>
            </w:r>
          </w:p>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（台）</w:t>
            </w:r>
          </w:p>
        </w:tc>
        <w:tc>
          <w:tcPr>
            <w:tcW w:w="1518" w:type="dxa"/>
            <w:gridSpan w:val="2"/>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百名学生配计算机台数</w:t>
            </w:r>
          </w:p>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616"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1374"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1078" w:type="dxa"/>
            <w:vMerge w:val="continue"/>
            <w:vAlign w:val="center"/>
          </w:tcPr>
          <w:p>
            <w:pPr>
              <w:tabs>
                <w:tab w:val="left" w:pos="1071"/>
              </w:tabs>
              <w:adjustRightInd w:val="0"/>
              <w:snapToGrid w:val="0"/>
              <w:jc w:val="center"/>
              <w:rPr>
                <w:rFonts w:ascii="Times New Roman" w:hAnsi="Times New Roman" w:eastAsia="仿宋_GB2312" w:cs="Times New Roman"/>
                <w:b/>
                <w:szCs w:val="21"/>
              </w:rPr>
            </w:pPr>
          </w:p>
        </w:tc>
        <w:tc>
          <w:tcPr>
            <w:tcW w:w="979"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总数</w:t>
            </w:r>
          </w:p>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949"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系统名称</w:t>
            </w:r>
          </w:p>
        </w:tc>
        <w:tc>
          <w:tcPr>
            <w:tcW w:w="1007"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数量</w:t>
            </w:r>
          </w:p>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（台）</w:t>
            </w:r>
          </w:p>
        </w:tc>
        <w:tc>
          <w:tcPr>
            <w:tcW w:w="1148"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比例</w:t>
            </w:r>
          </w:p>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w:t>
            </w:r>
          </w:p>
        </w:tc>
        <w:tc>
          <w:tcPr>
            <w:tcW w:w="612"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818"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726"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792" w:type="dxa"/>
            <w:vAlign w:val="center"/>
          </w:tcPr>
          <w:p>
            <w:pPr>
              <w:tabs>
                <w:tab w:val="left" w:pos="1071"/>
              </w:tabs>
              <w:adjustRightInd w:val="0"/>
              <w:snapToGrid w:val="0"/>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616"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374"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110</w:t>
            </w:r>
          </w:p>
        </w:tc>
        <w:tc>
          <w:tcPr>
            <w:tcW w:w="1078"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110</w:t>
            </w:r>
          </w:p>
        </w:tc>
        <w:tc>
          <w:tcPr>
            <w:tcW w:w="979"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949"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数字化校园管理系统</w:t>
            </w:r>
          </w:p>
        </w:tc>
        <w:tc>
          <w:tcPr>
            <w:tcW w:w="1007"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68</w:t>
            </w:r>
          </w:p>
        </w:tc>
        <w:tc>
          <w:tcPr>
            <w:tcW w:w="1148"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71.73%</w:t>
            </w:r>
          </w:p>
        </w:tc>
        <w:tc>
          <w:tcPr>
            <w:tcW w:w="612"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260</w:t>
            </w:r>
          </w:p>
        </w:tc>
        <w:tc>
          <w:tcPr>
            <w:tcW w:w="818"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260</w:t>
            </w:r>
          </w:p>
        </w:tc>
        <w:tc>
          <w:tcPr>
            <w:tcW w:w="726"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19.16</w:t>
            </w:r>
          </w:p>
        </w:tc>
        <w:tc>
          <w:tcPr>
            <w:tcW w:w="792"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616" w:type="dxa"/>
            <w:vAlign w:val="center"/>
          </w:tcPr>
          <w:p>
            <w:pPr>
              <w:tabs>
                <w:tab w:val="left" w:pos="1071"/>
              </w:tabs>
              <w:adjustRightInd w:val="0"/>
              <w:snapToGrid w:val="0"/>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374"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110</w:t>
            </w:r>
          </w:p>
        </w:tc>
        <w:tc>
          <w:tcPr>
            <w:tcW w:w="1078"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110</w:t>
            </w:r>
          </w:p>
        </w:tc>
        <w:tc>
          <w:tcPr>
            <w:tcW w:w="979"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949"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数字化校园管理系统</w:t>
            </w:r>
          </w:p>
        </w:tc>
        <w:tc>
          <w:tcPr>
            <w:tcW w:w="1007"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68</w:t>
            </w:r>
          </w:p>
        </w:tc>
        <w:tc>
          <w:tcPr>
            <w:tcW w:w="1148"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71.73%</w:t>
            </w:r>
          </w:p>
        </w:tc>
        <w:tc>
          <w:tcPr>
            <w:tcW w:w="612"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260</w:t>
            </w:r>
          </w:p>
        </w:tc>
        <w:tc>
          <w:tcPr>
            <w:tcW w:w="818"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260</w:t>
            </w:r>
          </w:p>
        </w:tc>
        <w:tc>
          <w:tcPr>
            <w:tcW w:w="726"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19.16</w:t>
            </w:r>
          </w:p>
        </w:tc>
        <w:tc>
          <w:tcPr>
            <w:tcW w:w="792" w:type="dxa"/>
            <w:vAlign w:val="center"/>
          </w:tcPr>
          <w:p>
            <w:pPr>
              <w:adjustRightInd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19.5</w:t>
            </w:r>
          </w:p>
        </w:tc>
      </w:tr>
    </w:tbl>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表16 2020-2021年学校图书资源情况一览表</w:t>
      </w:r>
    </w:p>
    <w:tbl>
      <w:tblPr>
        <w:tblStyle w:val="9"/>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4"/>
        <w:gridCol w:w="979"/>
        <w:gridCol w:w="949"/>
        <w:gridCol w:w="1299"/>
        <w:gridCol w:w="1148"/>
        <w:gridCol w:w="967"/>
        <w:gridCol w:w="1169"/>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4375" w:type="dxa"/>
            <w:gridSpan w:val="4"/>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图书资源数量</w:t>
            </w:r>
          </w:p>
        </w:tc>
        <w:tc>
          <w:tcPr>
            <w:tcW w:w="3654" w:type="dxa"/>
            <w:gridSpan w:val="3"/>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图书资源新增数量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97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纸质图书</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（万册）</w:t>
            </w:r>
          </w:p>
        </w:tc>
        <w:tc>
          <w:tcPr>
            <w:tcW w:w="94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电子图书</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（万册）</w:t>
            </w:r>
          </w:p>
        </w:tc>
        <w:tc>
          <w:tcPr>
            <w:tcW w:w="129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专业类图书</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（万册）</w:t>
            </w:r>
          </w:p>
        </w:tc>
        <w:tc>
          <w:tcPr>
            <w:tcW w:w="114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生均图书</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（册）</w:t>
            </w:r>
          </w:p>
        </w:tc>
        <w:tc>
          <w:tcPr>
            <w:tcW w:w="9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纸质图书</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（万册）</w:t>
            </w:r>
          </w:p>
        </w:tc>
        <w:tc>
          <w:tcPr>
            <w:tcW w:w="116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电子图书</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（万册）</w:t>
            </w:r>
          </w:p>
        </w:tc>
        <w:tc>
          <w:tcPr>
            <w:tcW w:w="151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期刊、报纸</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97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5.2045</w:t>
            </w:r>
          </w:p>
        </w:tc>
        <w:tc>
          <w:tcPr>
            <w:tcW w:w="94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3.7472</w:t>
            </w:r>
          </w:p>
        </w:tc>
        <w:tc>
          <w:tcPr>
            <w:tcW w:w="114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32.63</w:t>
            </w:r>
          </w:p>
        </w:tc>
        <w:tc>
          <w:tcPr>
            <w:tcW w:w="9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6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51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97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5.2773</w:t>
            </w:r>
          </w:p>
        </w:tc>
        <w:tc>
          <w:tcPr>
            <w:tcW w:w="94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3.7850</w:t>
            </w:r>
          </w:p>
        </w:tc>
        <w:tc>
          <w:tcPr>
            <w:tcW w:w="114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46.58</w:t>
            </w:r>
          </w:p>
        </w:tc>
        <w:tc>
          <w:tcPr>
            <w:tcW w:w="96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0.0728</w:t>
            </w:r>
          </w:p>
        </w:tc>
        <w:tc>
          <w:tcPr>
            <w:tcW w:w="116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51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40</w:t>
            </w:r>
          </w:p>
        </w:tc>
      </w:tr>
    </w:tbl>
    <w:p>
      <w:pPr>
        <w:pStyle w:val="2"/>
        <w:spacing w:line="580" w:lineRule="exact"/>
        <w:ind w:firstLine="640" w:firstLineChars="200"/>
        <w:rPr>
          <w:rFonts w:hint="eastAsia" w:ascii="Times New Roman" w:hAnsi="Times New Roman" w:eastAsia="黑体" w:cs="Times New Roman"/>
          <w:sz w:val="32"/>
          <w:szCs w:val="32"/>
          <w:lang w:eastAsia="zh-CN"/>
        </w:rPr>
      </w:pPr>
      <w:r>
        <w:rPr>
          <w:rFonts w:ascii="Times New Roman" w:hAnsi="Times New Roman" w:eastAsia="黑体" w:cs="Times New Roman"/>
          <w:sz w:val="32"/>
          <w:szCs w:val="32"/>
        </w:rPr>
        <w:t>二、学生发展</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（一）学生素质</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1.思想政治状况。</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仿宋_GB2312" w:eastAsia="仿宋_GB2312" w:cs="Times New Roman"/>
          <w:sz w:val="32"/>
        </w:rPr>
        <w:t>近年来我校通过思政课，班会课，升旗集会等多种方式对我校学生进行思想政治教育，并通过“检校共育”、“警校共育”的方式对学生进行法治教育，学生在政治觉悟、理想信念、学习目的、道德风貌、组织纪律、法制观念等方面都有了较大的进步。我校以“德行天下，技压群芳”，“勤学苦练，德技双修”的校训和学风着重培育学生工匠精神，让学生在注重精进自身技能的同时培养对社会和国家的奉献精神。</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2.学生心理健康情况。</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表17 2020-2021年学生心理健康情况一览表</w:t>
      </w:r>
    </w:p>
    <w:tbl>
      <w:tblPr>
        <w:tblStyle w:val="9"/>
        <w:tblW w:w="6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2"/>
        <w:gridCol w:w="1777"/>
        <w:gridCol w:w="212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77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心理健康课开设数（课时/学期）</w:t>
            </w:r>
          </w:p>
        </w:tc>
        <w:tc>
          <w:tcPr>
            <w:tcW w:w="2127" w:type="dxa"/>
            <w:vAlign w:val="center"/>
          </w:tcPr>
          <w:p>
            <w:pPr>
              <w:adjustRightInd w:val="0"/>
              <w:jc w:val="center"/>
              <w:rPr>
                <w:rFonts w:ascii="Times New Roman" w:hAnsi="Times New Roman" w:eastAsia="仿宋_GB2312" w:cs="Times New Roman"/>
                <w:b/>
                <w:szCs w:val="21"/>
              </w:rPr>
            </w:pPr>
            <w:r>
              <w:rPr>
                <w:rFonts w:ascii="Times New Roman" w:hAnsi="Times New Roman" w:eastAsia="仿宋_GB2312" w:cs="Times New Roman"/>
                <w:b/>
                <w:szCs w:val="21"/>
              </w:rPr>
              <w:t>心理健康辅导教师数（人）</w:t>
            </w:r>
          </w:p>
        </w:tc>
        <w:tc>
          <w:tcPr>
            <w:tcW w:w="170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心理咨询工作室</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（有/</w:t>
            </w:r>
            <w:r>
              <w:rPr>
                <w:rFonts w:hint="eastAsia" w:ascii="Times New Roman" w:hAnsi="Times New Roman" w:eastAsia="仿宋_GB2312" w:cs="Times New Roman"/>
                <w:b/>
                <w:szCs w:val="21"/>
              </w:rPr>
              <w:t>0</w:t>
            </w:r>
            <w:r>
              <w:rPr>
                <w:rFonts w:ascii="Times New Roman" w:hAnsi="Times New Roman" w:eastAsia="仿宋_GB2312" w:cs="Times New Roman"/>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77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40学时/学期</w:t>
            </w:r>
          </w:p>
        </w:tc>
        <w:tc>
          <w:tcPr>
            <w:tcW w:w="2127"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59</w:t>
            </w:r>
          </w:p>
        </w:tc>
        <w:tc>
          <w:tcPr>
            <w:tcW w:w="1701"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77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40学时/学期</w:t>
            </w:r>
          </w:p>
        </w:tc>
        <w:tc>
          <w:tcPr>
            <w:tcW w:w="2127"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47</w:t>
            </w:r>
          </w:p>
        </w:tc>
        <w:tc>
          <w:tcPr>
            <w:tcW w:w="1701"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有</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2.学生培养质量。</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2020年度学生技能竞赛获奖16人，技术理论课合格率100%，实习实训课合格100%，体质测评合格率98.75 %，毕业率100%，职业技能鉴定（技能等级认定）合格率 100 %。</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2021年度学生技能竞赛获奖16人，技术理论课合格率100 %，实习实训课合格100 %，体质测评合格率90.12 %，毕业率100%，职业技能鉴定（技能等级认定）合格率100 %。</w:t>
      </w:r>
    </w:p>
    <w:p>
      <w:pPr>
        <w:tabs>
          <w:tab w:val="left" w:pos="1071"/>
        </w:tabs>
        <w:spacing w:line="58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表18 2020-2021年学生获奖情况一览表</w:t>
      </w:r>
    </w:p>
    <w:tbl>
      <w:tblPr>
        <w:tblStyle w:val="9"/>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4"/>
        <w:gridCol w:w="1430"/>
        <w:gridCol w:w="949"/>
        <w:gridCol w:w="1299"/>
        <w:gridCol w:w="1148"/>
        <w:gridCol w:w="967"/>
        <w:gridCol w:w="1169"/>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获奖类型</w:t>
            </w:r>
          </w:p>
        </w:tc>
        <w:tc>
          <w:tcPr>
            <w:tcW w:w="1430"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级别</w:t>
            </w:r>
          </w:p>
        </w:tc>
        <w:tc>
          <w:tcPr>
            <w:tcW w:w="94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29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总数</w:t>
            </w:r>
          </w:p>
        </w:tc>
        <w:tc>
          <w:tcPr>
            <w:tcW w:w="114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一等奖</w:t>
            </w:r>
          </w:p>
        </w:tc>
        <w:tc>
          <w:tcPr>
            <w:tcW w:w="96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二等奖</w:t>
            </w:r>
          </w:p>
        </w:tc>
        <w:tc>
          <w:tcPr>
            <w:tcW w:w="116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三等奖</w:t>
            </w:r>
          </w:p>
        </w:tc>
        <w:tc>
          <w:tcPr>
            <w:tcW w:w="151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Merge w:val="restart"/>
            <w:vAlign w:val="center"/>
          </w:tcPr>
          <w:p>
            <w:pPr>
              <w:tabs>
                <w:tab w:val="left" w:pos="1071"/>
              </w:tabs>
              <w:spacing w:line="300" w:lineRule="exact"/>
              <w:jc w:val="center"/>
              <w:rPr>
                <w:rFonts w:ascii="Times New Roman" w:hAnsi="Times New Roman" w:eastAsia="仿宋_GB2312" w:cs="Times New Roman"/>
                <w:szCs w:val="21"/>
              </w:rPr>
            </w:pPr>
          </w:p>
        </w:tc>
        <w:tc>
          <w:tcPr>
            <w:tcW w:w="1430" w:type="dxa"/>
            <w:vMerge w:val="restart"/>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国家级</w:t>
            </w: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9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6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5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1430"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9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6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5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1430" w:type="dxa"/>
            <w:vMerge w:val="restart"/>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省级</w:t>
            </w: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9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6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15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1430"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9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6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w:t>
            </w:r>
          </w:p>
        </w:tc>
        <w:tc>
          <w:tcPr>
            <w:tcW w:w="15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张文红“四川省优秀共青团员”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1430" w:type="dxa"/>
            <w:vMerge w:val="restart"/>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市（州）级</w:t>
            </w: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15</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12</w:t>
            </w:r>
          </w:p>
        </w:tc>
        <w:tc>
          <w:tcPr>
            <w:tcW w:w="9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116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5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2019-2020学年中等职业学校“文明风采”一等奖2个，二等奖3个，三等奖6个。自贡市“三好”学生夏天、王杰，自贡市优秀学生干部卢楚丽、自贡市先进班集体2017级数控2班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1430"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12</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w:t>
            </w:r>
          </w:p>
        </w:tc>
        <w:tc>
          <w:tcPr>
            <w:tcW w:w="96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116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15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bl>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表19 2020-2021年学生合格率统计表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3"/>
        <w:gridCol w:w="1080"/>
        <w:gridCol w:w="1556"/>
        <w:gridCol w:w="1574"/>
        <w:gridCol w:w="1563"/>
        <w:gridCol w:w="981"/>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12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在校生总数</w:t>
            </w:r>
          </w:p>
        </w:tc>
        <w:tc>
          <w:tcPr>
            <w:tcW w:w="1636"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技术理论课</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合格率</w:t>
            </w:r>
          </w:p>
        </w:tc>
        <w:tc>
          <w:tcPr>
            <w:tcW w:w="165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实习实训课</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合格率</w:t>
            </w:r>
          </w:p>
        </w:tc>
        <w:tc>
          <w:tcPr>
            <w:tcW w:w="163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体质测评合格率</w:t>
            </w:r>
          </w:p>
        </w:tc>
        <w:tc>
          <w:tcPr>
            <w:tcW w:w="101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毕业率</w:t>
            </w:r>
          </w:p>
        </w:tc>
        <w:tc>
          <w:tcPr>
            <w:tcW w:w="155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职业技能鉴定（技能等级认定）合格率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63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129"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1357</w:t>
            </w:r>
          </w:p>
        </w:tc>
        <w:tc>
          <w:tcPr>
            <w:tcW w:w="163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w:t>
            </w:r>
          </w:p>
        </w:tc>
        <w:tc>
          <w:tcPr>
            <w:tcW w:w="165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w:t>
            </w:r>
          </w:p>
        </w:tc>
        <w:tc>
          <w:tcPr>
            <w:tcW w:w="16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98.75%</w:t>
            </w:r>
          </w:p>
        </w:tc>
        <w:tc>
          <w:tcPr>
            <w:tcW w:w="101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w:t>
            </w:r>
          </w:p>
        </w:tc>
        <w:tc>
          <w:tcPr>
            <w:tcW w:w="15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63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129"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1333</w:t>
            </w:r>
          </w:p>
        </w:tc>
        <w:tc>
          <w:tcPr>
            <w:tcW w:w="163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w:t>
            </w:r>
          </w:p>
        </w:tc>
        <w:tc>
          <w:tcPr>
            <w:tcW w:w="165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w:t>
            </w:r>
          </w:p>
        </w:tc>
        <w:tc>
          <w:tcPr>
            <w:tcW w:w="163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90.12%</w:t>
            </w:r>
          </w:p>
        </w:tc>
        <w:tc>
          <w:tcPr>
            <w:tcW w:w="101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w:t>
            </w:r>
          </w:p>
        </w:tc>
        <w:tc>
          <w:tcPr>
            <w:tcW w:w="155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w:t>
            </w:r>
          </w:p>
        </w:tc>
      </w:tr>
    </w:tbl>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（二）在校体验</w:t>
      </w:r>
    </w:p>
    <w:p>
      <w:pPr>
        <w:tabs>
          <w:tab w:val="left" w:pos="1071"/>
        </w:tabs>
        <w:ind w:firstLine="640" w:firstLineChars="200"/>
        <w:jc w:val="left"/>
        <w:rPr>
          <w:rFonts w:ascii="Times New Roman" w:hAnsi="Times New Roman" w:eastAsia="仿宋_GB2312" w:cs="Times New Roman"/>
          <w:sz w:val="32"/>
        </w:rPr>
      </w:pPr>
      <w:r>
        <w:rPr>
          <w:rFonts w:hint="eastAsia" w:ascii="Times New Roman" w:hAnsi="Times New Roman" w:eastAsia="仿宋_GB2312" w:cs="Times New Roman"/>
          <w:sz w:val="32"/>
        </w:rPr>
        <w:t>学校在2020年度和2021年度通过发放问卷调查表对学生</w:t>
      </w:r>
      <w:r>
        <w:rPr>
          <w:rFonts w:ascii="Times New Roman" w:hAnsi="Times New Roman" w:eastAsia="仿宋_GB2312" w:cs="Times New Roman"/>
          <w:sz w:val="32"/>
        </w:rPr>
        <w:t>从学习满意度、校园文化满意度、社团活动满意度、校园生活满意度、校园安全满意度</w:t>
      </w:r>
      <w:r>
        <w:rPr>
          <w:rFonts w:hint="eastAsia" w:ascii="Times New Roman" w:hAnsi="Times New Roman" w:eastAsia="仿宋_GB2312" w:cs="Times New Roman"/>
          <w:sz w:val="32"/>
        </w:rPr>
        <w:t>、</w:t>
      </w:r>
      <w:r>
        <w:rPr>
          <w:rFonts w:ascii="Times New Roman" w:hAnsi="Times New Roman" w:eastAsia="仿宋_GB2312" w:cs="Times New Roman"/>
          <w:sz w:val="32"/>
        </w:rPr>
        <w:t>毕业生对学校满意度</w:t>
      </w:r>
      <w:r>
        <w:rPr>
          <w:rFonts w:hint="eastAsia" w:ascii="Times New Roman" w:hAnsi="Times New Roman" w:eastAsia="仿宋_GB2312" w:cs="Times New Roman"/>
          <w:sz w:val="32"/>
        </w:rPr>
        <w:t>几个方面</w:t>
      </w:r>
      <w:r>
        <w:rPr>
          <w:rFonts w:ascii="Times New Roman" w:hAnsi="Times New Roman" w:eastAsia="仿宋_GB2312" w:cs="Times New Roman"/>
          <w:sz w:val="32"/>
        </w:rPr>
        <w:t>进行</w:t>
      </w:r>
      <w:r>
        <w:rPr>
          <w:rFonts w:hint="eastAsia" w:ascii="Times New Roman" w:hAnsi="Times New Roman" w:eastAsia="仿宋_GB2312" w:cs="Times New Roman"/>
          <w:sz w:val="32"/>
        </w:rPr>
        <w:t>问卷</w:t>
      </w:r>
      <w:r>
        <w:rPr>
          <w:rFonts w:ascii="Times New Roman" w:hAnsi="Times New Roman" w:eastAsia="仿宋_GB2312" w:cs="Times New Roman"/>
          <w:sz w:val="32"/>
        </w:rPr>
        <w:t>调查</w:t>
      </w:r>
      <w:r>
        <w:rPr>
          <w:rFonts w:hint="eastAsia" w:ascii="Times New Roman" w:hAnsi="Times New Roman" w:eastAsia="仿宋_GB2312" w:cs="Times New Roman"/>
          <w:sz w:val="32"/>
        </w:rPr>
        <w:t>。据调查结果反映：学生学习氛围较好，教师教学能力强，学习满意度较高；校园内学生健康和谐，学生懂礼貌、讲卫生，互帮互助，校园文化满意度较高；学校社团活动丰富多彩，学校设有学生会，护校队，国旗队、共青团等，并定期举行各项社团活动；每天要求学生进行早跑步、晚集会，每年定期举行篮球赛、足球赛、运动会等校园活动，丰富学生的校园生活；学校采取半封闭式管理，学生凭出入证进出校园，外来人员登记入校，每天安排有值班老师、值班领导巡视校园，值周学生定点值守，确保学生在校的安全；对毕业学生定期回访和交流，了解毕业生就业状况，加强与就业单位的沟通，努力帮助学生解决就业中遇到的问题。</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表20 2020-2021年学生满意度调查表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4"/>
        <w:gridCol w:w="963"/>
        <w:gridCol w:w="1183"/>
        <w:gridCol w:w="895"/>
        <w:gridCol w:w="1024"/>
        <w:gridCol w:w="906"/>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96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学习</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满意度</w:t>
            </w:r>
          </w:p>
        </w:tc>
        <w:tc>
          <w:tcPr>
            <w:tcW w:w="118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校园文化</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满意度</w:t>
            </w:r>
          </w:p>
        </w:tc>
        <w:tc>
          <w:tcPr>
            <w:tcW w:w="89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社团活动满意度</w:t>
            </w:r>
          </w:p>
        </w:tc>
        <w:tc>
          <w:tcPr>
            <w:tcW w:w="102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校园生活满意度</w:t>
            </w:r>
          </w:p>
        </w:tc>
        <w:tc>
          <w:tcPr>
            <w:tcW w:w="906"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校园安全满意度</w:t>
            </w:r>
          </w:p>
        </w:tc>
        <w:tc>
          <w:tcPr>
            <w:tcW w:w="126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毕业生对学校满意度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574" w:type="dxa"/>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963"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97.2%</w:t>
            </w:r>
          </w:p>
        </w:tc>
        <w:tc>
          <w:tcPr>
            <w:tcW w:w="1183"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95.5%</w:t>
            </w:r>
          </w:p>
        </w:tc>
        <w:tc>
          <w:tcPr>
            <w:tcW w:w="89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87.2%</w:t>
            </w:r>
          </w:p>
        </w:tc>
        <w:tc>
          <w:tcPr>
            <w:tcW w:w="102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96.2%</w:t>
            </w:r>
          </w:p>
        </w:tc>
        <w:tc>
          <w:tcPr>
            <w:tcW w:w="90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97.4%</w:t>
            </w:r>
          </w:p>
        </w:tc>
        <w:tc>
          <w:tcPr>
            <w:tcW w:w="126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574" w:type="dxa"/>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963"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98.1%</w:t>
            </w:r>
          </w:p>
        </w:tc>
        <w:tc>
          <w:tcPr>
            <w:tcW w:w="1183"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95.5%</w:t>
            </w:r>
          </w:p>
        </w:tc>
        <w:tc>
          <w:tcPr>
            <w:tcW w:w="89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84.6%</w:t>
            </w:r>
          </w:p>
        </w:tc>
        <w:tc>
          <w:tcPr>
            <w:tcW w:w="102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95.5%</w:t>
            </w:r>
          </w:p>
        </w:tc>
        <w:tc>
          <w:tcPr>
            <w:tcW w:w="906"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96.3%</w:t>
            </w:r>
          </w:p>
        </w:tc>
        <w:tc>
          <w:tcPr>
            <w:tcW w:w="126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89.2%</w:t>
            </w:r>
          </w:p>
        </w:tc>
      </w:tr>
    </w:tbl>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（三）资助情况</w:t>
      </w:r>
    </w:p>
    <w:p>
      <w:pPr>
        <w:tabs>
          <w:tab w:val="left" w:pos="1071"/>
        </w:tabs>
        <w:ind w:firstLine="640" w:firstLineChars="200"/>
        <w:jc w:val="left"/>
        <w:rPr>
          <w:rFonts w:ascii="Times New Roman" w:hAnsi="Times New Roman" w:eastAsia="仿宋_GB2312" w:cs="Times New Roman"/>
          <w:sz w:val="32"/>
        </w:rPr>
      </w:pPr>
      <w:r>
        <w:rPr>
          <w:rFonts w:hint="eastAsia" w:ascii="Times New Roman" w:hAnsi="Times New Roman" w:eastAsia="仿宋_GB2312" w:cs="Times New Roman"/>
          <w:sz w:val="32"/>
        </w:rPr>
        <w:t>学校深知中职学生资助政策的重要性和严肃性，严格按国家的相关政策将符合条件的学生全部纳入资助范围，不虚报，不漏报，不多报，无冒领、套取、挪用、截留助学资金的问题。</w:t>
      </w:r>
    </w:p>
    <w:p>
      <w:pPr>
        <w:tabs>
          <w:tab w:val="left" w:pos="1071"/>
        </w:tabs>
        <w:ind w:firstLine="640" w:firstLineChars="200"/>
        <w:jc w:val="left"/>
        <w:rPr>
          <w:rFonts w:ascii="Times New Roman" w:hAnsi="Times New Roman" w:eastAsia="仿宋_GB2312" w:cs="Times New Roman"/>
          <w:sz w:val="32"/>
        </w:rPr>
      </w:pPr>
      <w:r>
        <w:rPr>
          <w:rFonts w:hint="eastAsia" w:ascii="Times New Roman" w:hAnsi="Times New Roman" w:eastAsia="仿宋_GB2312" w:cs="Times New Roman"/>
          <w:sz w:val="32"/>
        </w:rPr>
        <w:t>受助对象均为全日制正式学籍在校学生，所确定的家庭经济困难资助对象是具有中等职业学校全日制学历教育正式学籍的一、二年级在校非涉农专业家庭经济困难学生（按一、二年级非涉农专业学生总人数的20%确定非涉农专业家庭经济困难学生人数）。我校将《中等职业学校国家助学金申请表》、《自贡市家庭经济困难学生认定申请表》及《中等职业学校国家助学金申请指南》随同入学通知书一并寄发给录取的新生。新生和二年级学生在新学年开学第一周内向就读学校提出申请，并递交相关证明材料。免学费政策享受对象为全日制正式学籍一、二、三、四、五年级学生，我校严格按规则认定免学费学生范围规范审查程序，我校坚持公开、公平、公正的原则，做好对国家助学金受助学生的申请和认定工作，按20%比例控制范围，通过学生申请和班级、学院评审，评选出家庭经济困难学生享受国家助学金资助，国家助学金按学期申请和评定，及时发放。</w:t>
      </w:r>
    </w:p>
    <w:p>
      <w:pPr>
        <w:tabs>
          <w:tab w:val="left" w:pos="1071"/>
        </w:tabs>
        <w:ind w:firstLine="640" w:firstLineChars="200"/>
        <w:jc w:val="left"/>
      </w:pPr>
      <w:r>
        <w:rPr>
          <w:rFonts w:hint="eastAsia" w:ascii="Times New Roman" w:hAnsi="Times New Roman" w:eastAsia="仿宋_GB2312" w:cs="Times New Roman"/>
          <w:sz w:val="32"/>
        </w:rPr>
        <w:t>学校对家庭困难的学生提供勤工俭学，帮助学生学生和生活。</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表21 2020-2021年已完成学生资助情况一览表</w:t>
      </w:r>
    </w:p>
    <w:tbl>
      <w:tblPr>
        <w:tblStyle w:val="9"/>
        <w:tblW w:w="9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4"/>
        <w:gridCol w:w="2199"/>
        <w:gridCol w:w="949"/>
        <w:gridCol w:w="1299"/>
        <w:gridCol w:w="1148"/>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获奖类型</w:t>
            </w:r>
          </w:p>
        </w:tc>
        <w:tc>
          <w:tcPr>
            <w:tcW w:w="219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级别</w:t>
            </w:r>
          </w:p>
        </w:tc>
        <w:tc>
          <w:tcPr>
            <w:tcW w:w="94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29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人数（人）</w:t>
            </w:r>
          </w:p>
        </w:tc>
        <w:tc>
          <w:tcPr>
            <w:tcW w:w="114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金额（万元）</w:t>
            </w:r>
          </w:p>
        </w:tc>
        <w:tc>
          <w:tcPr>
            <w:tcW w:w="267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人均资助金额（元/学期）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924" w:type="dxa"/>
            <w:vMerge w:val="restart"/>
            <w:vAlign w:val="center"/>
          </w:tcPr>
          <w:p>
            <w:pPr>
              <w:tabs>
                <w:tab w:val="left" w:pos="1071"/>
              </w:tabs>
              <w:spacing w:line="300" w:lineRule="exact"/>
              <w:jc w:val="center"/>
              <w:rPr>
                <w:rFonts w:ascii="Times New Roman" w:hAnsi="Times New Roman" w:eastAsia="仿宋_GB2312" w:cs="Times New Roman"/>
                <w:szCs w:val="21"/>
              </w:rPr>
            </w:pPr>
          </w:p>
        </w:tc>
        <w:tc>
          <w:tcPr>
            <w:tcW w:w="2199" w:type="dxa"/>
            <w:vMerge w:val="restart"/>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国家免学费资助</w:t>
            </w: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1307</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262.09</w:t>
            </w:r>
          </w:p>
        </w:tc>
        <w:tc>
          <w:tcPr>
            <w:tcW w:w="267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2199"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1139</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242.54</w:t>
            </w:r>
          </w:p>
        </w:tc>
        <w:tc>
          <w:tcPr>
            <w:tcW w:w="267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2199" w:type="dxa"/>
            <w:vMerge w:val="restart"/>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国家助学金</w:t>
            </w: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109</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21.82</w:t>
            </w:r>
          </w:p>
        </w:tc>
        <w:tc>
          <w:tcPr>
            <w:tcW w:w="267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2199"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125</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26.13（5.67万元于2022年下达）</w:t>
            </w:r>
          </w:p>
        </w:tc>
        <w:tc>
          <w:tcPr>
            <w:tcW w:w="267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24"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219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其他根据实际情况补充</w:t>
            </w:r>
          </w:p>
        </w:tc>
        <w:tc>
          <w:tcPr>
            <w:tcW w:w="949"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4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267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bl>
    <w:p>
      <w:pPr>
        <w:pStyle w:val="2"/>
        <w:spacing w:line="580" w:lineRule="exact"/>
        <w:ind w:firstLine="640" w:firstLineChars="200"/>
        <w:rPr>
          <w:rFonts w:hint="eastAsia" w:ascii="Times New Roman" w:hAnsi="Times New Roman" w:eastAsia="黑体" w:cs="Times New Roman"/>
          <w:color w:val="FF0000"/>
          <w:sz w:val="32"/>
          <w:szCs w:val="32"/>
          <w:lang w:eastAsia="zh-CN"/>
        </w:rPr>
      </w:pPr>
      <w:r>
        <w:rPr>
          <w:rFonts w:ascii="Times New Roman" w:hAnsi="Times New Roman" w:eastAsia="黑体" w:cs="Times New Roman"/>
          <w:sz w:val="32"/>
          <w:szCs w:val="32"/>
        </w:rPr>
        <w:t>三、教学改革</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（一）教育教学改革</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1.项目建设情况</w:t>
      </w:r>
    </w:p>
    <w:p>
      <w:pPr>
        <w:pStyle w:val="5"/>
        <w:rPr>
          <w:rFonts w:eastAsia="仿宋_GB2312"/>
        </w:rPr>
      </w:pPr>
      <w:r>
        <w:rPr>
          <w:rFonts w:hint="eastAsia" w:ascii="Times New Roman" w:hAnsi="Times New Roman" w:eastAsia="仿宋_GB2312" w:cs="Times New Roman"/>
          <w:b/>
        </w:rPr>
        <w:t xml:space="preserve">   </w:t>
      </w:r>
      <w:r>
        <w:rPr>
          <w:rFonts w:hint="eastAsia" w:ascii="Times New Roman" w:hAnsi="仿宋_GB2312" w:eastAsia="仿宋_GB2312" w:cs="Times New Roman"/>
          <w:szCs w:val="24"/>
        </w:rPr>
        <w:t xml:space="preserve"> 2021年我校建成自贡市郑悦（汽车维修）技能大师工作室，获得财政专项资金5万元。</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表22 2020-2021年学校项目情况一览表</w:t>
      </w:r>
    </w:p>
    <w:tbl>
      <w:tblPr>
        <w:tblStyle w:val="9"/>
        <w:tblW w:w="8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8"/>
        <w:gridCol w:w="1298"/>
        <w:gridCol w:w="1299"/>
        <w:gridCol w:w="1299"/>
        <w:gridCol w:w="1298"/>
        <w:gridCol w:w="1299"/>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78"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2597"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国家级</w:t>
            </w:r>
          </w:p>
        </w:tc>
        <w:tc>
          <w:tcPr>
            <w:tcW w:w="2597"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省级</w:t>
            </w:r>
          </w:p>
        </w:tc>
        <w:tc>
          <w:tcPr>
            <w:tcW w:w="2598" w:type="dxa"/>
            <w:gridSpan w:val="2"/>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市（州）级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78"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129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项目数</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29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项目经费</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（万元）</w:t>
            </w:r>
          </w:p>
        </w:tc>
        <w:tc>
          <w:tcPr>
            <w:tcW w:w="129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项目数</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29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项目经费</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（万元）</w:t>
            </w:r>
          </w:p>
        </w:tc>
        <w:tc>
          <w:tcPr>
            <w:tcW w:w="129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项目数</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29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项目经费</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878" w:type="dxa"/>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29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878" w:type="dxa"/>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29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129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2.人才培养方案制定（修订）</w:t>
      </w:r>
    </w:p>
    <w:p>
      <w:pPr>
        <w:pStyle w:val="4"/>
        <w:ind w:left="0" w:firstLine="640" w:firstLineChars="200"/>
        <w:rPr>
          <w:rFonts w:ascii="Times New Roman" w:hAnsi="仿宋_GB2312" w:eastAsia="仿宋_GB2312" w:cs="Times New Roman"/>
          <w:sz w:val="32"/>
        </w:rPr>
      </w:pPr>
      <w:r>
        <w:rPr>
          <w:rFonts w:hint="eastAsia" w:ascii="Times New Roman" w:hAnsi="仿宋_GB2312" w:eastAsia="仿宋_GB2312" w:cs="Times New Roman"/>
          <w:sz w:val="32"/>
        </w:rPr>
        <w:t>2020-2021年学校共开设数控加工、电气自动化设备安装与维修、汽车维修、新能源汽车检测与维修、工业机器人应用与维护、多媒体制作、酒店服务与旅游、计算机、中餐烹饪、幼教、交通客运等14个专业，均对接市场需求制定了各专业的人才培养方案，每年根据市场需求的变化修订完善各专业人才培养方案。</w:t>
      </w:r>
    </w:p>
    <w:p>
      <w:pPr>
        <w:pStyle w:val="4"/>
        <w:ind w:left="0"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表23 2020-2021年人才培养方案制定（修订）统计表</w:t>
      </w:r>
    </w:p>
    <w:tbl>
      <w:tblPr>
        <w:tblStyle w:val="9"/>
        <w:tblW w:w="6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11"/>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201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专业开设数量（个）</w:t>
            </w:r>
          </w:p>
        </w:tc>
        <w:tc>
          <w:tcPr>
            <w:tcW w:w="425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制定（修订）人才培养方案专业数量（个）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01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w:t>
            </w:r>
          </w:p>
        </w:tc>
        <w:tc>
          <w:tcPr>
            <w:tcW w:w="4253"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3.优化专业课程体系</w:t>
      </w:r>
    </w:p>
    <w:p>
      <w:pPr>
        <w:pStyle w:val="5"/>
        <w:ind w:firstLine="640" w:firstLineChars="200"/>
      </w:pPr>
      <w:r>
        <w:rPr>
          <w:rFonts w:hint="eastAsia" w:ascii="Times New Roman" w:hAnsi="仿宋_GB2312" w:eastAsia="仿宋_GB2312" w:cs="Times New Roman"/>
        </w:rPr>
        <w:t>2020-2021年学校开设语文、数学、英语、德育、体育、计算机基础共6门公共基础课，均按国家课程标准开展教学。学校严格按照上级部门要求使用国家、省级规划教材，使用比例为83%，组织专业教师积极开展校本教材，目前共开发校本教材10本。数控加工、汽车机电维修、机电一体化三个专业为一体化课程改革专业，一体化课程改革课程有《汽车机电维修》、《数控加工工作页》、《数控铣工工作页》、《机械综合技术理论》、《PLC》、《单片机》、《仪器技术/开关柜》、《电机/ 驱动装置》、《电子元件》、《电气测量技术》、《机电一体化设备调试与维修》。</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表24 2020-2021年课程建设情况一览表</w:t>
      </w:r>
    </w:p>
    <w:tbl>
      <w:tblPr>
        <w:tblStyle w:val="9"/>
        <w:tblW w:w="9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45"/>
        <w:gridCol w:w="1869"/>
        <w:gridCol w:w="1691"/>
        <w:gridCol w:w="2007"/>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4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学校公共基础课设置</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（门）</w:t>
            </w:r>
          </w:p>
        </w:tc>
        <w:tc>
          <w:tcPr>
            <w:tcW w:w="186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使用部颁教材比例</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w:t>
            </w:r>
          </w:p>
        </w:tc>
        <w:tc>
          <w:tcPr>
            <w:tcW w:w="169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校本教材开发数</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（本）</w:t>
            </w:r>
          </w:p>
        </w:tc>
        <w:tc>
          <w:tcPr>
            <w:tcW w:w="200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一体化课程改革专业</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96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一体化课程改革课程</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54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w:t>
            </w:r>
          </w:p>
        </w:tc>
        <w:tc>
          <w:tcPr>
            <w:tcW w:w="186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83%</w:t>
            </w:r>
          </w:p>
        </w:tc>
        <w:tc>
          <w:tcPr>
            <w:tcW w:w="169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w:t>
            </w:r>
          </w:p>
        </w:tc>
        <w:tc>
          <w:tcPr>
            <w:tcW w:w="200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1962"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11</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4.强化人才培养模式改革</w:t>
      </w:r>
    </w:p>
    <w:p>
      <w:pPr>
        <w:tabs>
          <w:tab w:val="left" w:pos="1071"/>
        </w:tabs>
        <w:spacing w:line="580" w:lineRule="exact"/>
        <w:ind w:firstLine="640" w:firstLineChars="200"/>
      </w:pPr>
      <w:r>
        <w:rPr>
          <w:rFonts w:hint="eastAsia" w:ascii="仿宋" w:hAnsi="仿宋" w:eastAsia="仿宋" w:cs="仿宋"/>
          <w:sz w:val="32"/>
          <w:szCs w:val="32"/>
        </w:rPr>
        <w:t>教学工作坚持以文化课为基础，专业课为主体，实践操作为重点，以培养学生职业技能和就业创业能力为目标，深入实施</w:t>
      </w:r>
      <w:r>
        <w:rPr>
          <w:rFonts w:hint="eastAsia" w:ascii="仿宋" w:hAnsi="仿宋" w:eastAsia="仿宋" w:cs="仿宋"/>
          <w:bCs/>
          <w:sz w:val="32"/>
          <w:szCs w:val="32"/>
          <w:shd w:val="clear" w:color="auto" w:fill="FFFFFF"/>
        </w:rPr>
        <w:t>“岗课赛证”综合育人，深化</w:t>
      </w:r>
      <w:r>
        <w:rPr>
          <w:rFonts w:hint="eastAsia" w:ascii="仿宋" w:hAnsi="仿宋" w:eastAsia="仿宋" w:cs="仿宋"/>
          <w:sz w:val="32"/>
          <w:szCs w:val="32"/>
        </w:rPr>
        <w:t>“三教改革”，</w:t>
      </w:r>
      <w:r>
        <w:rPr>
          <w:rFonts w:hint="eastAsia" w:ascii="仿宋" w:hAnsi="仿宋" w:eastAsia="仿宋" w:cs="仿宋"/>
          <w:bCs/>
          <w:sz w:val="32"/>
          <w:szCs w:val="32"/>
          <w:shd w:val="clear" w:color="auto" w:fill="FFFFFF"/>
        </w:rPr>
        <w:t>全力推动一体化人才培养模式改革</w:t>
      </w:r>
      <w:r>
        <w:rPr>
          <w:rFonts w:hint="eastAsia" w:ascii="仿宋" w:hAnsi="仿宋" w:eastAsia="仿宋" w:cs="仿宋"/>
          <w:sz w:val="32"/>
          <w:szCs w:val="32"/>
        </w:rPr>
        <w:t>，大力提倡教师采用现代信息化教学、实践教学、场景教学等多种形式的教学手段，形成“岗课对接，赛教融合”的有效模式，培养学生创新意识、工匠精神和实践能力。</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5.提升信息化教学能力</w:t>
      </w:r>
    </w:p>
    <w:p>
      <w:pPr>
        <w:tabs>
          <w:tab w:val="left" w:pos="1071"/>
        </w:tabs>
        <w:spacing w:line="580" w:lineRule="exact"/>
        <w:ind w:firstLine="640" w:firstLineChars="200"/>
      </w:pPr>
      <w:r>
        <w:rPr>
          <w:rFonts w:hint="eastAsia" w:ascii="仿宋" w:hAnsi="仿宋" w:eastAsia="仿宋" w:cs="仿宋_GB2312"/>
          <w:bCs/>
          <w:sz w:val="32"/>
          <w:szCs w:val="32"/>
          <w:shd w:val="clear" w:color="auto" w:fill="FFFFFF"/>
        </w:rPr>
        <w:t>学校全力推动“岗课赛证”人才培养模式改革</w:t>
      </w:r>
      <w:r>
        <w:rPr>
          <w:rFonts w:hint="eastAsia" w:ascii="仿宋" w:hAnsi="仿宋" w:eastAsia="仿宋"/>
          <w:sz w:val="32"/>
          <w:szCs w:val="32"/>
        </w:rPr>
        <w:t>，大力提倡教师采用现代信息化教学、实践教学、场景教学等多种形式的教学手段，形成“岗课对接，赛教融合”的有效模式。学校每间教室都配有投影仪和音响，要求</w:t>
      </w:r>
      <w:r>
        <w:rPr>
          <w:rFonts w:hint="eastAsia" w:ascii="仿宋_GB2312" w:hAnsi="仿宋_GB2312" w:eastAsia="仿宋_GB2312" w:cs="仿宋_GB2312"/>
          <w:sz w:val="32"/>
          <w:szCs w:val="32"/>
        </w:rPr>
        <w:t>45岁及以下的教师必须使用多媒体教学，45岁以上的教师鼓励使用多媒体教学。鼓励教师使用“云班课”、“雨课堂”、“课堂派”等网络教学平台辅助教学。</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6.校内外实习实训基地建设</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学校根据各专业的特点，学校选择校企合作单位均系合法经营、管理规范、实习设备完备、符合安全生产法律法规要求的。在确定合作单位前，顶岗实习工作领导小组相关工作人员均对推荐实习单位进行了实地考察评估并形成书面报告，考察内容包括了：单位资质、诚信状况、管理水平、实习岗位性质和内容、工作时间、工作环境、生活环境以及健康保障、安全防护等方面。</w:t>
      </w:r>
    </w:p>
    <w:p>
      <w:pPr>
        <w:widowControl/>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学校先后与海尔集团（西南园区）、四川成都天府阳光酒店有限责任公司、四川省自贡运输机械集团股份有限公司、上海三菱电梯、吉利集团（成都）、长沙比亚迪、自贡市盐帮食府餐饮管理有限公司等数十家企业签订校企合作协议，建立实训基地。</w:t>
      </w:r>
    </w:p>
    <w:p>
      <w:pPr>
        <w:widowControl/>
        <w:spacing w:line="360" w:lineRule="auto"/>
        <w:ind w:firstLine="640" w:firstLineChars="200"/>
        <w:jc w:val="left"/>
      </w:pPr>
      <w:r>
        <w:rPr>
          <w:rFonts w:hint="eastAsia" w:ascii="仿宋_GB2312" w:hAnsi="仿宋_GB2312" w:eastAsia="仿宋_GB2312" w:cs="仿宋_GB2312"/>
          <w:sz w:val="32"/>
          <w:szCs w:val="32"/>
        </w:rPr>
        <w:t>基地建立后学校聘请基地企业专家到校指导、上课、教师到基地企业实践、组织学生赴基地参加教学见习、顶岗实习等。</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表25 2020-2021年校内外实习实训基地建设及成效一览表</w:t>
      </w:r>
    </w:p>
    <w:tbl>
      <w:tblPr>
        <w:tblStyle w:val="9"/>
        <w:tblpPr w:leftFromText="180" w:rightFromText="180" w:vertAnchor="text" w:horzAnchor="page" w:tblpX="1389" w:tblpY="569"/>
        <w:tblOverlap w:val="never"/>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0"/>
        <w:gridCol w:w="1103"/>
        <w:gridCol w:w="993"/>
        <w:gridCol w:w="992"/>
        <w:gridCol w:w="1843"/>
        <w:gridCol w:w="1842"/>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3088" w:type="dxa"/>
            <w:gridSpan w:val="3"/>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校企合作企业数量</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84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校外实训基地数量（个）</w:t>
            </w:r>
          </w:p>
        </w:tc>
        <w:tc>
          <w:tcPr>
            <w:tcW w:w="184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校企合作建设重点项目名称</w:t>
            </w:r>
          </w:p>
        </w:tc>
        <w:tc>
          <w:tcPr>
            <w:tcW w:w="183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校企合作订单班人数（人）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3088" w:type="dxa"/>
            <w:gridSpan w:val="3"/>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36</w:t>
            </w:r>
          </w:p>
        </w:tc>
        <w:tc>
          <w:tcPr>
            <w:tcW w:w="184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19</w:t>
            </w:r>
          </w:p>
        </w:tc>
        <w:tc>
          <w:tcPr>
            <w:tcW w:w="184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无</w:t>
            </w:r>
          </w:p>
        </w:tc>
        <w:tc>
          <w:tcPr>
            <w:tcW w:w="183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3088" w:type="dxa"/>
            <w:gridSpan w:val="3"/>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49</w:t>
            </w:r>
          </w:p>
        </w:tc>
        <w:tc>
          <w:tcPr>
            <w:tcW w:w="184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23</w:t>
            </w:r>
          </w:p>
        </w:tc>
        <w:tc>
          <w:tcPr>
            <w:tcW w:w="184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无</w:t>
            </w:r>
          </w:p>
        </w:tc>
        <w:tc>
          <w:tcPr>
            <w:tcW w:w="183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b/>
                <w:szCs w:val="21"/>
              </w:rPr>
              <w:t>年度</w:t>
            </w:r>
          </w:p>
        </w:tc>
        <w:tc>
          <w:tcPr>
            <w:tcW w:w="110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学生顶岗实习岗位数（个）</w:t>
            </w:r>
          </w:p>
        </w:tc>
        <w:tc>
          <w:tcPr>
            <w:tcW w:w="99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教师赴企业实践数</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（人）</w:t>
            </w:r>
          </w:p>
        </w:tc>
        <w:tc>
          <w:tcPr>
            <w:tcW w:w="99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校企合作开发课程数（门）</w:t>
            </w:r>
          </w:p>
        </w:tc>
        <w:tc>
          <w:tcPr>
            <w:tcW w:w="184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校企合作开发教材数（本）</w:t>
            </w:r>
          </w:p>
        </w:tc>
        <w:tc>
          <w:tcPr>
            <w:tcW w:w="184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学校培训企业员工数（人）</w:t>
            </w:r>
          </w:p>
        </w:tc>
        <w:tc>
          <w:tcPr>
            <w:tcW w:w="183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合作企业接收毕业学生数（人）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10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696</w:t>
            </w:r>
          </w:p>
        </w:tc>
        <w:tc>
          <w:tcPr>
            <w:tcW w:w="99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90</w:t>
            </w:r>
          </w:p>
        </w:tc>
        <w:tc>
          <w:tcPr>
            <w:tcW w:w="99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w:t>
            </w:r>
          </w:p>
        </w:tc>
        <w:tc>
          <w:tcPr>
            <w:tcW w:w="184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w:t>
            </w:r>
          </w:p>
        </w:tc>
        <w:tc>
          <w:tcPr>
            <w:tcW w:w="184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822</w:t>
            </w:r>
          </w:p>
        </w:tc>
        <w:tc>
          <w:tcPr>
            <w:tcW w:w="183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0"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10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1006</w:t>
            </w:r>
          </w:p>
        </w:tc>
        <w:tc>
          <w:tcPr>
            <w:tcW w:w="99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82</w:t>
            </w:r>
          </w:p>
        </w:tc>
        <w:tc>
          <w:tcPr>
            <w:tcW w:w="99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7</w:t>
            </w:r>
          </w:p>
        </w:tc>
        <w:tc>
          <w:tcPr>
            <w:tcW w:w="184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w:t>
            </w:r>
          </w:p>
        </w:tc>
        <w:tc>
          <w:tcPr>
            <w:tcW w:w="184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723</w:t>
            </w:r>
          </w:p>
        </w:tc>
        <w:tc>
          <w:tcPr>
            <w:tcW w:w="183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308</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7.办学成果宣传与交流合作</w:t>
      </w:r>
    </w:p>
    <w:p>
      <w:pPr>
        <w:tabs>
          <w:tab w:val="left" w:pos="1071"/>
        </w:tabs>
        <w:spacing w:line="580" w:lineRule="exact"/>
        <w:ind w:firstLine="640" w:firstLineChars="200"/>
      </w:pPr>
      <w:r>
        <w:rPr>
          <w:rFonts w:hint="eastAsia" w:ascii="Times New Roman" w:hAnsi="仿宋_GB2312" w:eastAsia="仿宋_GB2312" w:cs="Times New Roman"/>
          <w:sz w:val="32"/>
        </w:rPr>
        <w:t>学校积极推进中德合作职业教育试点项目，先后开展了两期涉及汽车机电维修、航空及燃机零部件制作、机电一体化三个项目，试点效果较为显著，多次在全市公开报道，并在自贡职教兄弟学校中进行推广。</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表26 2020-2021年办学成果宣介及合作交流一览表</w:t>
      </w:r>
    </w:p>
    <w:tbl>
      <w:tblPr>
        <w:tblStyle w:val="9"/>
        <w:tblW w:w="9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0"/>
        <w:gridCol w:w="4287"/>
        <w:gridCol w:w="4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0"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序号</w:t>
            </w:r>
          </w:p>
        </w:tc>
        <w:tc>
          <w:tcPr>
            <w:tcW w:w="428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主动开展或被媒体宣传报道的办学成果名称</w:t>
            </w:r>
          </w:p>
        </w:tc>
        <w:tc>
          <w:tcPr>
            <w:tcW w:w="428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开展国际国内交流合作的项目名称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1190"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4287"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中德合作职业教育试点项目</w:t>
            </w:r>
          </w:p>
        </w:tc>
        <w:tc>
          <w:tcPr>
            <w:tcW w:w="428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中德合作职业教育试点项目</w:t>
            </w:r>
          </w:p>
        </w:tc>
      </w:tr>
    </w:tbl>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（二）专业动态调整</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1.专业调整</w:t>
      </w:r>
    </w:p>
    <w:p>
      <w:pPr>
        <w:tabs>
          <w:tab w:val="left" w:pos="1071"/>
        </w:tabs>
        <w:spacing w:line="580" w:lineRule="exact"/>
        <w:ind w:firstLine="640" w:firstLineChars="200"/>
      </w:pPr>
      <w:r>
        <w:rPr>
          <w:rFonts w:hint="eastAsia" w:ascii="Times New Roman" w:hAnsi="仿宋_GB2312" w:eastAsia="仿宋_GB2312" w:cs="Times New Roman"/>
          <w:sz w:val="32"/>
        </w:rPr>
        <w:t xml:space="preserve">2020-2021年学校对接现代制造业、现代信息技术业、现代服务业开设数控加工、电气自动化设备安装与维修、汽车维修、新能源汽车检测与维修、工业机器人应用与维护、多媒体制作、酒店服务与旅游、计算机、中餐烹饪、幼教、交通客运等14个专业。因市场需求变化，2020年新增工业机器人应用与维护、多媒体制作、现代物流、数控加工（加工中心操作工）4 个专业，停招电梯工程技术、汽车驾驶、焊接技术、汽车制造与装配、汽车装饰与美容5个专业，2021年停招了机床切削加工专业。  </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表27 2020-2021年专业结构布局调整情况一览表</w:t>
      </w:r>
    </w:p>
    <w:tbl>
      <w:tblPr>
        <w:tblStyle w:val="9"/>
        <w:tblW w:w="10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9"/>
        <w:gridCol w:w="1385"/>
        <w:gridCol w:w="1254"/>
        <w:gridCol w:w="1254"/>
        <w:gridCol w:w="1254"/>
        <w:gridCol w:w="1254"/>
        <w:gridCol w:w="1254"/>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262" w:type="dxa"/>
            <w:gridSpan w:val="4"/>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专业布局结构</w:t>
            </w:r>
          </w:p>
        </w:tc>
        <w:tc>
          <w:tcPr>
            <w:tcW w:w="2508"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新增专业</w:t>
            </w:r>
          </w:p>
        </w:tc>
        <w:tc>
          <w:tcPr>
            <w:tcW w:w="2377"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调整招生（停招）专业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6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138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112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6" w:hRule="atLeast"/>
          <w:jc w:val="center"/>
        </w:trPr>
        <w:tc>
          <w:tcPr>
            <w:tcW w:w="136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专业对接区域支柱产业数</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38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专业对接区域支柱产业数</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专业设</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置数量</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专业设</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置数量</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（个）</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专业名称</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专业名称</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专业名称</w:t>
            </w:r>
          </w:p>
        </w:tc>
        <w:tc>
          <w:tcPr>
            <w:tcW w:w="112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136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1385"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125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w:t>
            </w:r>
          </w:p>
        </w:tc>
        <w:tc>
          <w:tcPr>
            <w:tcW w:w="125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w:t>
            </w:r>
          </w:p>
        </w:tc>
        <w:tc>
          <w:tcPr>
            <w:tcW w:w="125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工业机器人应用与维护、多媒体制作、现代物流、数控加工（加工中心操作工）</w:t>
            </w:r>
          </w:p>
        </w:tc>
        <w:tc>
          <w:tcPr>
            <w:tcW w:w="125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5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电梯工程技术、汽车驾驶、焊接技术、汽车制造与装配、汽车装饰与美容</w:t>
            </w:r>
          </w:p>
        </w:tc>
        <w:tc>
          <w:tcPr>
            <w:tcW w:w="1123"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机床切削加工</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2.专业群发展</w:t>
      </w:r>
    </w:p>
    <w:p>
      <w:pPr>
        <w:tabs>
          <w:tab w:val="left" w:pos="1071"/>
        </w:tabs>
        <w:spacing w:line="580" w:lineRule="exact"/>
        <w:ind w:firstLine="640" w:firstLineChars="200"/>
        <w:rPr>
          <w:rFonts w:ascii="Times New Roman" w:hAnsi="仿宋_GB2312" w:eastAsia="仿宋_GB2312" w:cs="Times New Roman"/>
          <w:sz w:val="32"/>
        </w:rPr>
      </w:pPr>
      <w:r>
        <w:rPr>
          <w:rFonts w:hint="eastAsia" w:ascii="Times New Roman" w:hAnsi="仿宋_GB2312" w:eastAsia="仿宋_GB2312" w:cs="Times New Roman"/>
          <w:sz w:val="32"/>
        </w:rPr>
        <w:t>学校大力发展现代制造类、信息技术类和现代服务类三大专业集群，开设有数控加工、电气自动化设备安装与维修、机电一体化、计算机网络应用、汽车维修、交通客运服务、幼教等14个专业工种，为地方产业发展培养了大量高素质技能人才。</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表28 2021年学校专业设置情况一览表</w:t>
      </w:r>
    </w:p>
    <w:tbl>
      <w:tblPr>
        <w:tblStyle w:val="9"/>
        <w:tblpPr w:leftFromText="180" w:rightFromText="180" w:vertAnchor="text" w:horzAnchor="page" w:tblpX="1130" w:tblpY="599"/>
        <w:tblOverlap w:val="never"/>
        <w:tblW w:w="9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1161"/>
        <w:gridCol w:w="2188"/>
        <w:gridCol w:w="1148"/>
        <w:gridCol w:w="1154"/>
        <w:gridCol w:w="1221"/>
        <w:gridCol w:w="914"/>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6" w:hRule="atLeast"/>
        </w:trPr>
        <w:tc>
          <w:tcPr>
            <w:tcW w:w="62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序号</w:t>
            </w:r>
          </w:p>
        </w:tc>
        <w:tc>
          <w:tcPr>
            <w:tcW w:w="134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专业大类</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专业名称</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专业代码</w:t>
            </w:r>
          </w:p>
        </w:tc>
        <w:tc>
          <w:tcPr>
            <w:tcW w:w="125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设置时间</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w:t>
            </w:r>
          </w:p>
        </w:tc>
        <w:tc>
          <w:tcPr>
            <w:tcW w:w="133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首次招生时间</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w:t>
            </w:r>
          </w:p>
        </w:tc>
        <w:tc>
          <w:tcPr>
            <w:tcW w:w="104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学制</w:t>
            </w:r>
          </w:p>
        </w:tc>
        <w:tc>
          <w:tcPr>
            <w:tcW w:w="164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全日制/非全日制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62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134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机械类</w:t>
            </w:r>
          </w:p>
        </w:tc>
        <w:tc>
          <w:tcPr>
            <w:tcW w:w="125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数控加工</w:t>
            </w:r>
          </w:p>
        </w:tc>
        <w:tc>
          <w:tcPr>
            <w:tcW w:w="125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0106-3</w:t>
            </w:r>
          </w:p>
        </w:tc>
        <w:tc>
          <w:tcPr>
            <w:tcW w:w="1254"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133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104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1645"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0" w:type="auto"/>
          </w:tcPr>
          <w:p>
            <w:pPr>
              <w:spacing w:line="300" w:lineRule="exact"/>
              <w:jc w:val="center"/>
              <w:rPr>
                <w:rFonts w:ascii="Times New Roman" w:hAnsi="Times New Roman" w:eastAsia="仿宋_GB2312" w:cs="Times New Roman"/>
                <w:szCs w:val="21"/>
              </w:rPr>
            </w:pP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数控加工</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0106-4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五年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0" w:type="auto"/>
          </w:tcPr>
          <w:p>
            <w:pPr>
              <w:spacing w:line="300" w:lineRule="exact"/>
              <w:jc w:val="center"/>
              <w:rPr>
                <w:rFonts w:ascii="Times New Roman" w:hAnsi="Times New Roman" w:eastAsia="仿宋_GB2312" w:cs="Times New Roman"/>
                <w:szCs w:val="21"/>
              </w:rPr>
            </w:pP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机电一体化技术</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0127-4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2018</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2018</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电子电工类</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电气自动化设备安装与维修</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0203-3</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2006</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2006</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五年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w:t>
            </w:r>
          </w:p>
        </w:tc>
        <w:tc>
          <w:tcPr>
            <w:tcW w:w="0" w:type="auto"/>
          </w:tcPr>
          <w:p>
            <w:pPr>
              <w:spacing w:line="300" w:lineRule="exact"/>
              <w:jc w:val="center"/>
              <w:rPr>
                <w:rFonts w:ascii="Times New Roman" w:hAnsi="Times New Roman" w:eastAsia="仿宋_GB2312" w:cs="Times New Roman"/>
                <w:szCs w:val="21"/>
              </w:rPr>
            </w:pP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电子技术应用</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0209－4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信息类</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计算机网络应用</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0301-4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2013</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2013</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7</w:t>
            </w:r>
          </w:p>
        </w:tc>
        <w:tc>
          <w:tcPr>
            <w:tcW w:w="0" w:type="auto"/>
          </w:tcPr>
          <w:p>
            <w:pPr>
              <w:spacing w:line="300" w:lineRule="exact"/>
              <w:jc w:val="center"/>
              <w:rPr>
                <w:rFonts w:ascii="Times New Roman" w:hAnsi="Times New Roman" w:eastAsia="仿宋_GB2312" w:cs="Times New Roman"/>
                <w:szCs w:val="21"/>
              </w:rPr>
            </w:pP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计算机应用与维修</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0303-4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交通类</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汽车维修</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0403-3</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五年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w:t>
            </w:r>
          </w:p>
        </w:tc>
        <w:tc>
          <w:tcPr>
            <w:tcW w:w="0" w:type="auto"/>
          </w:tcPr>
          <w:p>
            <w:pPr>
              <w:spacing w:line="300" w:lineRule="exact"/>
              <w:jc w:val="center"/>
              <w:rPr>
                <w:rFonts w:ascii="Times New Roman" w:hAnsi="Times New Roman" w:eastAsia="仿宋_GB2312" w:cs="Times New Roman"/>
                <w:szCs w:val="21"/>
              </w:rPr>
            </w:pP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汽车维修</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0403-4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w:t>
            </w:r>
          </w:p>
        </w:tc>
        <w:tc>
          <w:tcPr>
            <w:tcW w:w="0" w:type="auto"/>
          </w:tcPr>
          <w:p>
            <w:pPr>
              <w:spacing w:line="300" w:lineRule="exact"/>
              <w:jc w:val="center"/>
              <w:rPr>
                <w:rFonts w:ascii="Times New Roman" w:hAnsi="Times New Roman" w:eastAsia="仿宋_GB2312" w:cs="Times New Roman"/>
                <w:szCs w:val="21"/>
              </w:rPr>
            </w:pP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现代物流</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0415-4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2020</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2020</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11</w:t>
            </w:r>
          </w:p>
        </w:tc>
        <w:tc>
          <w:tcPr>
            <w:tcW w:w="0" w:type="auto"/>
          </w:tcPr>
          <w:p>
            <w:pPr>
              <w:spacing w:line="300" w:lineRule="exact"/>
              <w:jc w:val="center"/>
              <w:rPr>
                <w:rFonts w:ascii="Times New Roman" w:hAnsi="Times New Roman" w:eastAsia="仿宋_GB2312" w:cs="Times New Roman"/>
                <w:szCs w:val="21"/>
              </w:rPr>
            </w:pP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新能源汽车检测与维修</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0435-4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2018</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2018</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12</w:t>
            </w:r>
          </w:p>
        </w:tc>
        <w:tc>
          <w:tcPr>
            <w:tcW w:w="0" w:type="auto"/>
          </w:tcPr>
          <w:p>
            <w:pPr>
              <w:spacing w:line="300" w:lineRule="exact"/>
              <w:jc w:val="center"/>
              <w:rPr>
                <w:rFonts w:ascii="Times New Roman" w:hAnsi="Times New Roman" w:eastAsia="仿宋_GB2312" w:cs="Times New Roman"/>
                <w:szCs w:val="21"/>
              </w:rPr>
            </w:pP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交通客运服务</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0402-4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2015</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2015</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服务类</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烹饪（中式烹调）</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0501-4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w:t>
            </w:r>
          </w:p>
        </w:tc>
        <w:tc>
          <w:tcPr>
            <w:tcW w:w="0" w:type="auto"/>
          </w:tcPr>
          <w:p>
            <w:pPr>
              <w:spacing w:line="300" w:lineRule="exact"/>
              <w:jc w:val="center"/>
              <w:rPr>
                <w:rFonts w:ascii="Times New Roman" w:hAnsi="Times New Roman" w:eastAsia="仿宋_GB2312" w:cs="Times New Roman"/>
                <w:szCs w:val="21"/>
              </w:rPr>
            </w:pP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酒店管理</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0519-4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2001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15</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财经商贸类</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电子商务</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0603-4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2012</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2012</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16</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其他</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幼儿教育</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1501-4</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2011</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三年</w:t>
            </w:r>
          </w:p>
        </w:tc>
        <w:tc>
          <w:tcPr>
            <w:tcW w:w="0" w:type="auto"/>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全日制</w:t>
            </w:r>
          </w:p>
        </w:tc>
      </w:tr>
    </w:tbl>
    <w:p>
      <w:pPr>
        <w:pStyle w:val="3"/>
        <w:spacing w:line="580" w:lineRule="exact"/>
        <w:ind w:left="0" w:firstLine="640" w:firstLineChars="200"/>
        <w:rPr>
          <w:rFonts w:hint="eastAsia" w:ascii="Times New Roman" w:hAnsi="Times New Roman" w:eastAsia="楷体_GB2312" w:cs="Times New Roman"/>
          <w:b w:val="0"/>
          <w:color w:val="FF0000"/>
          <w:lang w:eastAsia="zh-CN"/>
        </w:rPr>
      </w:pPr>
      <w:r>
        <w:rPr>
          <w:rFonts w:ascii="Times New Roman" w:hAnsi="Times New Roman" w:eastAsia="楷体_GB2312" w:cs="Times New Roman"/>
          <w:b w:val="0"/>
        </w:rPr>
        <w:t>（三）师资队伍建设</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1.师资队伍建设情况</w:t>
      </w:r>
    </w:p>
    <w:p>
      <w:pPr>
        <w:spacing w:line="520" w:lineRule="exact"/>
        <w:ind w:firstLine="640" w:firstLineChars="200"/>
      </w:pPr>
      <w:r>
        <w:rPr>
          <w:rFonts w:hint="eastAsia" w:ascii="仿宋_GB2312" w:hAnsi="仿宋_GB2312" w:eastAsia="仿宋_GB2312" w:cs="仿宋_GB2312"/>
          <w:sz w:val="32"/>
          <w:szCs w:val="32"/>
        </w:rPr>
        <w:t>为提高教师职业素质，学校组织教师参加各级各类培训。2020年市级教师培训40人次以上，省级培训35人次，国家级培训25人次，中德项目专题培训100人次以上，各教研室自主培训业务理论12次。2021年市级教师培训45人次，省级培训38人次，国家级培训4人次，中德项目专题培训120人次以上，各教研室自主培训业务理论12次。积极打造一体化教师队伍，除组织参加各级各类一体化教师培训外，学校还要求专业教师每年利用暑假进企业开展教师跟岗实践活动。通过学习、培训和企业实践进行各种教学和技能交流，使教师不断吸收最新的教育和生产信息，积累教学经验，形成有特色的教学方法，拓宽教师的视野，提高教师的业务素质。学校充分发挥技工教育优势，积极参与企业员工培训、自贡市“居家战疫、云端网培”培训、自贡市人社系统服务农民工返岗志愿者活动等社会服务。</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表29 2020-2021年师资队伍建设情况一览表</w:t>
      </w:r>
    </w:p>
    <w:tbl>
      <w:tblPr>
        <w:tblStyle w:val="9"/>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3"/>
        <w:gridCol w:w="559"/>
        <w:gridCol w:w="1251"/>
        <w:gridCol w:w="1251"/>
        <w:gridCol w:w="1252"/>
        <w:gridCol w:w="1252"/>
        <w:gridCol w:w="1251"/>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教师参与培训数量</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（人、天）</w:t>
            </w:r>
          </w:p>
        </w:tc>
        <w:tc>
          <w:tcPr>
            <w:tcW w:w="55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25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国家级培训</w:t>
            </w:r>
          </w:p>
        </w:tc>
        <w:tc>
          <w:tcPr>
            <w:tcW w:w="125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省级培训</w:t>
            </w:r>
          </w:p>
        </w:tc>
        <w:tc>
          <w:tcPr>
            <w:tcW w:w="125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市（州）级</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培训</w:t>
            </w:r>
          </w:p>
        </w:tc>
        <w:tc>
          <w:tcPr>
            <w:tcW w:w="125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区（县）级</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培训</w:t>
            </w:r>
          </w:p>
        </w:tc>
        <w:tc>
          <w:tcPr>
            <w:tcW w:w="125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校本培训</w:t>
            </w:r>
          </w:p>
        </w:tc>
        <w:tc>
          <w:tcPr>
            <w:tcW w:w="112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教师企业</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1423"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55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25人、33天</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5人、7天</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7人、6天</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24人、48天</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137人、2天</w:t>
            </w:r>
          </w:p>
        </w:tc>
        <w:tc>
          <w:tcPr>
            <w:tcW w:w="1121"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52人，28天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55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4人，45天</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38人、148天</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9人、5天</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26人、53天</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132人、2天</w:t>
            </w:r>
          </w:p>
        </w:tc>
        <w:tc>
          <w:tcPr>
            <w:tcW w:w="112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48人，28天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教师提升及</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交流情况</w:t>
            </w:r>
          </w:p>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b/>
                <w:szCs w:val="21"/>
              </w:rPr>
              <w:t>（人、项）</w:t>
            </w:r>
          </w:p>
        </w:tc>
        <w:tc>
          <w:tcPr>
            <w:tcW w:w="55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25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学历提升</w:t>
            </w:r>
          </w:p>
        </w:tc>
        <w:tc>
          <w:tcPr>
            <w:tcW w:w="125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职称提升</w:t>
            </w:r>
          </w:p>
        </w:tc>
        <w:tc>
          <w:tcPr>
            <w:tcW w:w="2504"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区级及以上课题承担数</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区（县）级培训</w:t>
            </w:r>
          </w:p>
        </w:tc>
        <w:tc>
          <w:tcPr>
            <w:tcW w:w="2372"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受邀出校交流经验数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Merge w:val="continue"/>
            <w:vAlign w:val="center"/>
          </w:tcPr>
          <w:p>
            <w:pPr>
              <w:tabs>
                <w:tab w:val="left" w:pos="1071"/>
              </w:tabs>
              <w:spacing w:line="300" w:lineRule="exact"/>
              <w:rPr>
                <w:rFonts w:ascii="Times New Roman" w:hAnsi="Times New Roman" w:eastAsia="仿宋_GB2312" w:cs="Times New Roman"/>
                <w:szCs w:val="21"/>
              </w:rPr>
            </w:pPr>
          </w:p>
        </w:tc>
        <w:tc>
          <w:tcPr>
            <w:tcW w:w="55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2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Merge w:val="continue"/>
            <w:vAlign w:val="center"/>
          </w:tcPr>
          <w:p>
            <w:pPr>
              <w:tabs>
                <w:tab w:val="left" w:pos="1071"/>
              </w:tabs>
              <w:spacing w:line="300" w:lineRule="exact"/>
              <w:rPr>
                <w:rFonts w:ascii="Times New Roman" w:hAnsi="Times New Roman" w:eastAsia="仿宋_GB2312" w:cs="Times New Roman"/>
                <w:szCs w:val="21"/>
              </w:rPr>
            </w:pPr>
          </w:p>
        </w:tc>
        <w:tc>
          <w:tcPr>
            <w:tcW w:w="55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2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教师参与科研及社会服务</w:t>
            </w:r>
          </w:p>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b/>
                <w:szCs w:val="21"/>
              </w:rPr>
              <w:t>情况</w:t>
            </w:r>
          </w:p>
        </w:tc>
        <w:tc>
          <w:tcPr>
            <w:tcW w:w="559"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251"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教研成果获奖数</w:t>
            </w:r>
          </w:p>
        </w:tc>
        <w:tc>
          <w:tcPr>
            <w:tcW w:w="3755" w:type="dxa"/>
            <w:gridSpan w:val="3"/>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科研成果数</w:t>
            </w:r>
          </w:p>
        </w:tc>
        <w:tc>
          <w:tcPr>
            <w:tcW w:w="1251"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技术开发</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成果</w:t>
            </w:r>
          </w:p>
        </w:tc>
        <w:tc>
          <w:tcPr>
            <w:tcW w:w="1121"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社会服务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559"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1251"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125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课题</w:t>
            </w:r>
          </w:p>
        </w:tc>
        <w:tc>
          <w:tcPr>
            <w:tcW w:w="125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论文</w:t>
            </w:r>
          </w:p>
        </w:tc>
        <w:tc>
          <w:tcPr>
            <w:tcW w:w="125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著作</w:t>
            </w:r>
          </w:p>
        </w:tc>
        <w:tc>
          <w:tcPr>
            <w:tcW w:w="1251" w:type="dxa"/>
            <w:vMerge w:val="continue"/>
            <w:vAlign w:val="center"/>
          </w:tcPr>
          <w:p>
            <w:pPr>
              <w:tabs>
                <w:tab w:val="left" w:pos="1071"/>
              </w:tabs>
              <w:spacing w:line="300" w:lineRule="exact"/>
              <w:jc w:val="center"/>
              <w:rPr>
                <w:rFonts w:ascii="Times New Roman" w:hAnsi="Times New Roman" w:eastAsia="仿宋_GB2312" w:cs="Times New Roman"/>
                <w:szCs w:val="21"/>
              </w:rPr>
            </w:pPr>
          </w:p>
        </w:tc>
        <w:tc>
          <w:tcPr>
            <w:tcW w:w="1121" w:type="dxa"/>
            <w:vMerge w:val="continue"/>
            <w:vAlign w:val="center"/>
          </w:tcPr>
          <w:p>
            <w:pPr>
              <w:tabs>
                <w:tab w:val="left" w:pos="1071"/>
              </w:tabs>
              <w:spacing w:line="300" w:lineRule="exact"/>
              <w:jc w:val="center"/>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Merge w:val="continue"/>
            <w:vAlign w:val="center"/>
          </w:tcPr>
          <w:p>
            <w:pPr>
              <w:tabs>
                <w:tab w:val="left" w:pos="1071"/>
              </w:tabs>
              <w:spacing w:line="300" w:lineRule="exact"/>
              <w:rPr>
                <w:rFonts w:ascii="Times New Roman" w:hAnsi="Times New Roman" w:eastAsia="仿宋_GB2312" w:cs="Times New Roman"/>
                <w:szCs w:val="21"/>
              </w:rPr>
            </w:pPr>
          </w:p>
        </w:tc>
        <w:tc>
          <w:tcPr>
            <w:tcW w:w="55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17</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43</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2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149人次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Merge w:val="continue"/>
            <w:vAlign w:val="center"/>
          </w:tcPr>
          <w:p>
            <w:pPr>
              <w:tabs>
                <w:tab w:val="left" w:pos="1071"/>
              </w:tabs>
              <w:spacing w:line="300" w:lineRule="exact"/>
              <w:rPr>
                <w:rFonts w:ascii="Times New Roman" w:hAnsi="Times New Roman" w:eastAsia="仿宋_GB2312" w:cs="Times New Roman"/>
                <w:szCs w:val="21"/>
              </w:rPr>
            </w:pPr>
          </w:p>
        </w:tc>
        <w:tc>
          <w:tcPr>
            <w:tcW w:w="559"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12</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32</w:t>
            </w:r>
          </w:p>
        </w:tc>
        <w:tc>
          <w:tcPr>
            <w:tcW w:w="1252"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25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2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124人次</w:t>
            </w:r>
          </w:p>
        </w:tc>
      </w:tr>
    </w:tbl>
    <w:p>
      <w:pPr>
        <w:pStyle w:val="2"/>
        <w:spacing w:line="580" w:lineRule="exact"/>
        <w:ind w:firstLine="640" w:firstLineChars="200"/>
        <w:rPr>
          <w:rFonts w:hint="eastAsia" w:ascii="Times New Roman" w:hAnsi="Times New Roman" w:eastAsia="黑体" w:cs="Times New Roman"/>
          <w:color w:val="FF0000"/>
          <w:sz w:val="32"/>
          <w:szCs w:val="32"/>
          <w:lang w:eastAsia="zh-CN"/>
        </w:rPr>
      </w:pPr>
      <w:r>
        <w:rPr>
          <w:rFonts w:ascii="Times New Roman" w:hAnsi="Times New Roman" w:eastAsia="黑体" w:cs="Times New Roman"/>
          <w:sz w:val="32"/>
          <w:szCs w:val="32"/>
        </w:rPr>
        <w:t>四、竞赛集训</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（一）竞赛集训情况</w:t>
      </w:r>
    </w:p>
    <w:p>
      <w:pPr>
        <w:tabs>
          <w:tab w:val="left" w:pos="1071"/>
        </w:tabs>
        <w:spacing w:line="580" w:lineRule="exact"/>
        <w:ind w:firstLine="640" w:firstLineChars="200"/>
      </w:pPr>
      <w:r>
        <w:rPr>
          <w:rFonts w:hint="eastAsia" w:ascii="Times New Roman" w:hAnsi="仿宋_GB2312" w:eastAsia="仿宋_GB2312" w:cs="Times New Roman"/>
          <w:sz w:val="32"/>
        </w:rPr>
        <w:t xml:space="preserve">学校建立了校级竞赛制度，结合省市赛每年举行校级学生专业技能竞赛，选拔优秀选手组建参赛集训队，按照省市赛要求组织常规性专业技能训练。历年来学校都是自贡市中职学校学生技能竞赛承办单位，2018年、2019年、2021年学校承办了自贡市首届、第二届、第三届“能工巧匠”职业技能大赛，是自贡市职业技能大赛集训基地，历年承担了“四川工匠杯”职业技能大赛焊工、数车、西点等项目的集训工作。1名教师担任了全国中职学校教师技能大赛裁判员，2名教师担任了“四川工匠杯”职业技能大赛裁判员，1名教师担任了全国职业技能大赛四川赛区选拔赛裁判员。 </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（二）教师技能大赛获奖情况</w:t>
      </w:r>
    </w:p>
    <w:p>
      <w:pPr>
        <w:pStyle w:val="5"/>
        <w:ind w:firstLine="640" w:firstLineChars="200"/>
      </w:pPr>
      <w:r>
        <w:rPr>
          <w:rFonts w:hint="eastAsia" w:ascii="Times New Roman" w:hAnsi="Times New Roman" w:eastAsia="仿宋_GB2312" w:cs="Times New Roman"/>
        </w:rPr>
        <w:t>学校2名教师参加2020年四川省中等职业学校汽车机电维修专业技能大赛均获三等奖。</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表30 2020-2021年教师技能大赛获奖情况一览表</w:t>
      </w:r>
    </w:p>
    <w:tbl>
      <w:tblPr>
        <w:tblStyle w:val="9"/>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6"/>
        <w:gridCol w:w="1362"/>
        <w:gridCol w:w="1644"/>
        <w:gridCol w:w="695"/>
        <w:gridCol w:w="949"/>
        <w:gridCol w:w="1007"/>
        <w:gridCol w:w="1148"/>
        <w:gridCol w:w="612"/>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6"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序号</w:t>
            </w:r>
          </w:p>
        </w:tc>
        <w:tc>
          <w:tcPr>
            <w:tcW w:w="1362"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竞赛层级</w:t>
            </w:r>
          </w:p>
        </w:tc>
        <w:tc>
          <w:tcPr>
            <w:tcW w:w="1644"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获奖赛项名称</w:t>
            </w:r>
          </w:p>
        </w:tc>
        <w:tc>
          <w:tcPr>
            <w:tcW w:w="1644"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一等奖</w:t>
            </w:r>
          </w:p>
        </w:tc>
        <w:tc>
          <w:tcPr>
            <w:tcW w:w="2155"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二等奖</w:t>
            </w:r>
          </w:p>
        </w:tc>
        <w:tc>
          <w:tcPr>
            <w:tcW w:w="1430"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三等级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6"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1362"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1644" w:type="dxa"/>
            <w:vMerge w:val="continue"/>
          </w:tcPr>
          <w:p>
            <w:pPr>
              <w:tabs>
                <w:tab w:val="left" w:pos="1071"/>
              </w:tabs>
              <w:spacing w:line="300" w:lineRule="exact"/>
              <w:jc w:val="center"/>
              <w:rPr>
                <w:rFonts w:ascii="Times New Roman" w:hAnsi="Times New Roman" w:eastAsia="仿宋_GB2312" w:cs="Times New Roman"/>
                <w:b/>
                <w:szCs w:val="21"/>
              </w:rPr>
            </w:pPr>
          </w:p>
        </w:tc>
        <w:tc>
          <w:tcPr>
            <w:tcW w:w="69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94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100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114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61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818"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6" w:type="dxa"/>
          </w:tcPr>
          <w:p>
            <w:pPr>
              <w:spacing w:line="300" w:lineRule="exact"/>
              <w:jc w:val="center"/>
              <w:rPr>
                <w:rFonts w:ascii="Times New Roman" w:hAnsi="Times New Roman" w:eastAsia="仿宋_GB2312" w:cs="Times New Roman"/>
                <w:szCs w:val="21"/>
              </w:rPr>
            </w:pPr>
          </w:p>
        </w:tc>
        <w:tc>
          <w:tcPr>
            <w:tcW w:w="1362"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四川省中等职业学校技能大赛</w:t>
            </w:r>
          </w:p>
        </w:tc>
        <w:tc>
          <w:tcPr>
            <w:tcW w:w="1644"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汽车机电维修</w:t>
            </w:r>
          </w:p>
        </w:tc>
        <w:tc>
          <w:tcPr>
            <w:tcW w:w="695"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949"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007"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4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612"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818" w:type="dxa"/>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bl>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（三）学生技能大赛获奖情况</w:t>
      </w:r>
    </w:p>
    <w:p>
      <w:pPr>
        <w:tabs>
          <w:tab w:val="left" w:pos="1071"/>
        </w:tabs>
        <w:spacing w:line="580" w:lineRule="exact"/>
        <w:ind w:firstLine="640" w:firstLineChars="200"/>
        <w:rPr>
          <w:rFonts w:ascii="Times New Roman" w:hAnsi="仿宋_GB2312" w:eastAsia="仿宋_GB2312" w:cs="Times New Roman"/>
          <w:sz w:val="32"/>
        </w:rPr>
      </w:pPr>
      <w:r>
        <w:rPr>
          <w:rFonts w:hint="eastAsia" w:ascii="Times New Roman" w:hAnsi="仿宋_GB2312" w:eastAsia="仿宋_GB2312" w:cs="Times New Roman"/>
          <w:sz w:val="32"/>
        </w:rPr>
        <w:t>2020年学校组织学生参加第十三届自贡市中职学校学生技能竞赛获个人一等奖12个，个人二等奖3个，个人三等奖3个。获团体一等奖4个，团体二等奖2个，团体三等奖1个。组织学生参加四川省中职学生技能竞赛获汽车机电维修三等奖1个。</w:t>
      </w:r>
    </w:p>
    <w:p>
      <w:pPr>
        <w:tabs>
          <w:tab w:val="left" w:pos="1071"/>
        </w:tabs>
        <w:spacing w:line="580" w:lineRule="exact"/>
        <w:ind w:firstLine="640" w:firstLineChars="200"/>
      </w:pPr>
      <w:r>
        <w:rPr>
          <w:rFonts w:hint="eastAsia" w:ascii="Times New Roman" w:hAnsi="仿宋_GB2312" w:eastAsia="仿宋_GB2312" w:cs="Times New Roman"/>
          <w:sz w:val="32"/>
        </w:rPr>
        <w:t>2021年学校组织学生参加第十四届自贡中职学校学生技能竞赛获个人一等奖6个，个人二等奖3个，个人三等奖3个。获团体一等奖2个，团体二等奖1个，团体三等奖1个。组织学生参加四川省中职学生技能竞赛获汽车机电维修三等奖1个、四川省“天府工匠杯”工业技能大赛数控铣工项目获三等奖1个、零部件测绘与CAD成图技术获三等奖2个。</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表31 2020-2021年学生技能大赛获奖情况一览表</w:t>
      </w:r>
    </w:p>
    <w:tbl>
      <w:tblPr>
        <w:tblStyle w:val="9"/>
        <w:tblW w:w="9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9"/>
        <w:gridCol w:w="2369"/>
        <w:gridCol w:w="3113"/>
        <w:gridCol w:w="530"/>
        <w:gridCol w:w="626"/>
        <w:gridCol w:w="648"/>
        <w:gridCol w:w="701"/>
        <w:gridCol w:w="499"/>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序号</w:t>
            </w:r>
          </w:p>
        </w:tc>
        <w:tc>
          <w:tcPr>
            <w:tcW w:w="2112"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竞赛层级</w:t>
            </w:r>
          </w:p>
        </w:tc>
        <w:tc>
          <w:tcPr>
            <w:tcW w:w="2777" w:type="dxa"/>
            <w:vMerge w:val="restart"/>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获奖赛项名称</w:t>
            </w:r>
          </w:p>
        </w:tc>
        <w:tc>
          <w:tcPr>
            <w:tcW w:w="1309"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一等奖</w:t>
            </w:r>
          </w:p>
        </w:tc>
        <w:tc>
          <w:tcPr>
            <w:tcW w:w="1601"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二等奖</w:t>
            </w:r>
          </w:p>
        </w:tc>
        <w:tc>
          <w:tcPr>
            <w:tcW w:w="1186" w:type="dxa"/>
            <w:gridSpan w:val="2"/>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三等级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2112" w:type="dxa"/>
            <w:vMerge w:val="continue"/>
            <w:vAlign w:val="center"/>
          </w:tcPr>
          <w:p>
            <w:pPr>
              <w:tabs>
                <w:tab w:val="left" w:pos="1071"/>
              </w:tabs>
              <w:spacing w:line="300" w:lineRule="exact"/>
              <w:jc w:val="center"/>
              <w:rPr>
                <w:rFonts w:ascii="Times New Roman" w:hAnsi="Times New Roman" w:eastAsia="仿宋_GB2312" w:cs="Times New Roman"/>
                <w:b/>
                <w:szCs w:val="21"/>
              </w:rPr>
            </w:pPr>
          </w:p>
        </w:tc>
        <w:tc>
          <w:tcPr>
            <w:tcW w:w="2777" w:type="dxa"/>
            <w:vMerge w:val="continue"/>
          </w:tcPr>
          <w:p>
            <w:pPr>
              <w:tabs>
                <w:tab w:val="left" w:pos="1071"/>
              </w:tabs>
              <w:spacing w:line="300" w:lineRule="exact"/>
              <w:jc w:val="center"/>
              <w:rPr>
                <w:rFonts w:ascii="Times New Roman" w:hAnsi="Times New Roman" w:eastAsia="仿宋_GB2312" w:cs="Times New Roman"/>
                <w:b/>
                <w:szCs w:val="21"/>
              </w:rPr>
            </w:pPr>
          </w:p>
        </w:tc>
        <w:tc>
          <w:tcPr>
            <w:tcW w:w="58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727"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760"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84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c>
          <w:tcPr>
            <w:tcW w:w="534"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2020</w:t>
            </w:r>
          </w:p>
        </w:tc>
        <w:tc>
          <w:tcPr>
            <w:tcW w:w="65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dxa"/>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w:t>
            </w:r>
          </w:p>
        </w:tc>
        <w:tc>
          <w:tcPr>
            <w:tcW w:w="2112" w:type="dxa"/>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四川省中职学校学生技能竞赛</w:t>
            </w:r>
          </w:p>
        </w:tc>
        <w:tc>
          <w:tcPr>
            <w:tcW w:w="2777" w:type="dxa"/>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汽车机电维修</w:t>
            </w:r>
          </w:p>
        </w:tc>
        <w:tc>
          <w:tcPr>
            <w:tcW w:w="582" w:type="dxa"/>
            <w:vAlign w:val="center"/>
          </w:tcPr>
          <w:p>
            <w:pPr>
              <w:tabs>
                <w:tab w:val="left" w:pos="1071"/>
              </w:tabs>
              <w:spacing w:line="300" w:lineRule="exact"/>
              <w:jc w:val="center"/>
              <w:rPr>
                <w:rFonts w:ascii="Times New Roman" w:hAnsi="Times New Roman" w:eastAsia="仿宋_GB2312" w:cs="Times New Roman"/>
                <w:bCs/>
                <w:szCs w:val="21"/>
              </w:rPr>
            </w:pPr>
          </w:p>
        </w:tc>
        <w:tc>
          <w:tcPr>
            <w:tcW w:w="727" w:type="dxa"/>
            <w:vAlign w:val="center"/>
          </w:tcPr>
          <w:p>
            <w:pPr>
              <w:tabs>
                <w:tab w:val="left" w:pos="1071"/>
              </w:tabs>
              <w:spacing w:line="300" w:lineRule="exact"/>
              <w:jc w:val="center"/>
              <w:rPr>
                <w:rFonts w:ascii="Times New Roman" w:hAnsi="Times New Roman" w:eastAsia="仿宋_GB2312" w:cs="Times New Roman"/>
                <w:bCs/>
                <w:szCs w:val="21"/>
              </w:rPr>
            </w:pPr>
          </w:p>
        </w:tc>
        <w:tc>
          <w:tcPr>
            <w:tcW w:w="760" w:type="dxa"/>
            <w:vAlign w:val="center"/>
          </w:tcPr>
          <w:p>
            <w:pPr>
              <w:tabs>
                <w:tab w:val="left" w:pos="1071"/>
              </w:tabs>
              <w:spacing w:line="300" w:lineRule="exact"/>
              <w:jc w:val="center"/>
              <w:rPr>
                <w:rFonts w:ascii="Times New Roman" w:hAnsi="Times New Roman" w:eastAsia="仿宋_GB2312" w:cs="Times New Roman"/>
                <w:bCs/>
                <w:szCs w:val="21"/>
              </w:rPr>
            </w:pPr>
          </w:p>
        </w:tc>
        <w:tc>
          <w:tcPr>
            <w:tcW w:w="841" w:type="dxa"/>
            <w:vAlign w:val="center"/>
          </w:tcPr>
          <w:p>
            <w:pPr>
              <w:tabs>
                <w:tab w:val="left" w:pos="1071"/>
              </w:tabs>
              <w:spacing w:line="300" w:lineRule="exact"/>
              <w:jc w:val="center"/>
              <w:rPr>
                <w:rFonts w:ascii="Times New Roman" w:hAnsi="Times New Roman" w:eastAsia="仿宋_GB2312" w:cs="Times New Roman"/>
                <w:bCs/>
                <w:szCs w:val="21"/>
              </w:rPr>
            </w:pPr>
          </w:p>
        </w:tc>
        <w:tc>
          <w:tcPr>
            <w:tcW w:w="534" w:type="dxa"/>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w:t>
            </w:r>
          </w:p>
        </w:tc>
        <w:tc>
          <w:tcPr>
            <w:tcW w:w="652" w:type="dxa"/>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w:t>
            </w: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四川省“天府工匠杯”工业技能大赛</w:t>
            </w: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数控铣工</w:t>
            </w: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3</w:t>
            </w: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四川省“天府工匠杯”工业技能大赛</w:t>
            </w: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零部件测绘与CAD成图技术</w:t>
            </w: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p>
        </w:tc>
        <w:tc>
          <w:tcPr>
            <w:tcW w:w="0" w:type="auto"/>
            <w:vAlign w:val="center"/>
          </w:tcPr>
          <w:p>
            <w:pPr>
              <w:tabs>
                <w:tab w:val="left" w:pos="1071"/>
              </w:tabs>
              <w:spacing w:line="300" w:lineRule="exact"/>
              <w:jc w:val="center"/>
              <w:rPr>
                <w:rFonts w:ascii="Times New Roman" w:hAnsi="Times New Roman" w:eastAsia="仿宋_GB2312" w:cs="Times New Roman"/>
                <w:bCs/>
                <w:szCs w:val="21"/>
              </w:rPr>
            </w:pPr>
            <w:r>
              <w:rPr>
                <w:rFonts w:hint="eastAsia" w:ascii="Times New Roman" w:hAnsi="Times New Roman" w:eastAsia="仿宋_GB2312" w:cs="Times New Roman"/>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4</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汽车专业—汽车定期维护</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汽车专业—机械拆装</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学前教育专业—幼儿园课程美术手工模拟教学</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7</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旅游专业-酒店服务</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0" w:type="auto"/>
          </w:tcPr>
          <w:p>
            <w:pPr>
              <w:spacing w:line="300" w:lineRule="exact"/>
              <w:jc w:val="center"/>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计算机专业—计算机辅助设计（工业产品）</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9</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3dmax动画片制作</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10</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电子专业—电动机双重联锁正反转控制电路安装</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3</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11</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机械专业—数控车工</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12</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中餐热菜</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13</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自贡市中职学校学生技能竞赛</w:t>
            </w: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中西餐面点</w:t>
            </w: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p>
        </w:tc>
        <w:tc>
          <w:tcPr>
            <w:tcW w:w="0" w:type="auto"/>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p>
        </w:tc>
      </w:tr>
    </w:tbl>
    <w:p>
      <w:pPr>
        <w:pStyle w:val="2"/>
        <w:spacing w:line="580" w:lineRule="exact"/>
        <w:ind w:firstLine="640" w:firstLineChars="200"/>
        <w:rPr>
          <w:rFonts w:hint="eastAsia" w:ascii="Times New Roman" w:hAnsi="Times New Roman" w:eastAsia="黑体" w:cs="Times New Roman"/>
          <w:sz w:val="32"/>
          <w:szCs w:val="32"/>
          <w:lang w:eastAsia="zh-CN"/>
        </w:rPr>
      </w:pPr>
      <w:r>
        <w:rPr>
          <w:rFonts w:ascii="Times New Roman" w:hAnsi="Times New Roman" w:eastAsia="黑体" w:cs="Times New Roman"/>
          <w:sz w:val="32"/>
          <w:szCs w:val="32"/>
        </w:rPr>
        <w:t>五、质量保障措施</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（一）规范管理情况</w:t>
      </w:r>
    </w:p>
    <w:p>
      <w:pPr>
        <w:tabs>
          <w:tab w:val="left" w:pos="1071"/>
        </w:tabs>
        <w:spacing w:line="580" w:lineRule="exact"/>
        <w:ind w:firstLine="643" w:firstLineChars="200"/>
        <w:rPr>
          <w:rFonts w:hint="eastAsia" w:ascii="Times New Roman" w:hAnsi="Times New Roman" w:eastAsia="仿宋_GB2312" w:cs="Times New Roman"/>
          <w:b/>
          <w:color w:val="FF0000"/>
          <w:sz w:val="32"/>
          <w:lang w:eastAsia="zh-CN"/>
        </w:rPr>
      </w:pPr>
      <w:r>
        <w:rPr>
          <w:rFonts w:ascii="Times New Roman" w:hAnsi="Times New Roman" w:eastAsia="仿宋_GB2312" w:cs="Times New Roman"/>
          <w:b/>
          <w:sz w:val="32"/>
        </w:rPr>
        <w:t>1.教学管理</w:t>
      </w:r>
    </w:p>
    <w:p>
      <w:pPr>
        <w:tabs>
          <w:tab w:val="left" w:pos="1071"/>
        </w:tabs>
        <w:spacing w:line="580" w:lineRule="exact"/>
        <w:ind w:firstLine="640" w:firstLineChars="200"/>
      </w:pPr>
      <w:r>
        <w:rPr>
          <w:rFonts w:hint="eastAsia" w:ascii="Times New Roman" w:hAnsi="仿宋_GB2312" w:eastAsia="仿宋_GB2312" w:cs="Times New Roman"/>
          <w:sz w:val="32"/>
        </w:rPr>
        <w:t>学校教学管理规范，教学环节安排科学，教学过程控制严格，教学质量评价体系完善。建有《教学常规管理制度》、《实习教学管理制度》、《学生成绩管理制度》、《教师管理制度》、《教学违规与教学事故处理办法》等教学制度；教学质量管理体系健全，责任清晰，质量考核和检查执行严格。坚持每日巡课制度，期中期末考试制度；严格依据人社部和省人社厅的相关规定使用教材，从未使用盗版教材；不断加强教学设备设施的管理，制定专门的台账，专人负责，狠抓过程管理，教学设施设备完好率80%以上，使用率达90%；学校建立了由教学副校长牵头，教务处组织协调，教研室指导督查，教研组具体实施的四级教研工作体系，每学期认真开展各项教学研究，有计划、有记录、有总结。不断强化“三教”改革，积极开展一体化课程改革，持续推行中德职业教育合作项目，鼓励教师不断改进教学方法，更新教学内容，时刻保持教学的先进性和实用性。</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表32 2020-2021年教学管理情况一览表</w:t>
      </w:r>
    </w:p>
    <w:tbl>
      <w:tblPr>
        <w:tblStyle w:val="9"/>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3"/>
        <w:gridCol w:w="1843"/>
        <w:gridCol w:w="1808"/>
        <w:gridCol w:w="1129"/>
        <w:gridCol w:w="1256"/>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843"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校领导听课人均次数（次/学期）</w:t>
            </w:r>
          </w:p>
        </w:tc>
        <w:tc>
          <w:tcPr>
            <w:tcW w:w="1808" w:type="dxa"/>
            <w:vAlign w:val="center"/>
          </w:tcPr>
          <w:p>
            <w:pPr>
              <w:adjustRightInd w:val="0"/>
              <w:jc w:val="center"/>
              <w:rPr>
                <w:rFonts w:ascii="Times New Roman" w:hAnsi="Times New Roman" w:eastAsia="仿宋_GB2312" w:cs="Times New Roman"/>
                <w:b/>
                <w:szCs w:val="21"/>
              </w:rPr>
            </w:pPr>
            <w:r>
              <w:rPr>
                <w:rFonts w:ascii="Times New Roman" w:hAnsi="Times New Roman" w:eastAsia="仿宋_GB2312" w:cs="Times New Roman"/>
                <w:b/>
                <w:szCs w:val="21"/>
              </w:rPr>
              <w:t>教学事故数量</w:t>
            </w:r>
          </w:p>
          <w:p>
            <w:pPr>
              <w:adjustRightInd w:val="0"/>
              <w:jc w:val="center"/>
              <w:rPr>
                <w:rFonts w:ascii="Times New Roman" w:hAnsi="Times New Roman" w:eastAsia="仿宋_GB2312" w:cs="Times New Roman"/>
                <w:b/>
                <w:szCs w:val="21"/>
              </w:rPr>
            </w:pPr>
            <w:r>
              <w:rPr>
                <w:rFonts w:ascii="Times New Roman" w:hAnsi="Times New Roman" w:eastAsia="仿宋_GB2312" w:cs="Times New Roman"/>
                <w:b/>
                <w:szCs w:val="21"/>
              </w:rPr>
              <w:t>（次/学期）</w:t>
            </w:r>
          </w:p>
        </w:tc>
        <w:tc>
          <w:tcPr>
            <w:tcW w:w="112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学生迟到率</w:t>
            </w:r>
          </w:p>
        </w:tc>
        <w:tc>
          <w:tcPr>
            <w:tcW w:w="1256"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学生缺课率</w:t>
            </w:r>
          </w:p>
        </w:tc>
        <w:tc>
          <w:tcPr>
            <w:tcW w:w="1395"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教学管理部门员工数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84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7</w:t>
            </w:r>
          </w:p>
        </w:tc>
        <w:tc>
          <w:tcPr>
            <w:tcW w:w="180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2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2.0%</w:t>
            </w:r>
          </w:p>
        </w:tc>
        <w:tc>
          <w:tcPr>
            <w:tcW w:w="1256"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1.2%</w:t>
            </w:r>
          </w:p>
        </w:tc>
        <w:tc>
          <w:tcPr>
            <w:tcW w:w="1395"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3" w:type="dxa"/>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843"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8</w:t>
            </w:r>
          </w:p>
        </w:tc>
        <w:tc>
          <w:tcPr>
            <w:tcW w:w="180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0</w:t>
            </w:r>
          </w:p>
        </w:tc>
        <w:tc>
          <w:tcPr>
            <w:tcW w:w="1129"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2.2%</w:t>
            </w:r>
          </w:p>
        </w:tc>
        <w:tc>
          <w:tcPr>
            <w:tcW w:w="1256" w:type="dxa"/>
            <w:vAlign w:val="center"/>
          </w:tcPr>
          <w:p>
            <w:pPr>
              <w:tabs>
                <w:tab w:val="left" w:pos="1071"/>
              </w:tabs>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1.4%</w:t>
            </w:r>
          </w:p>
        </w:tc>
        <w:tc>
          <w:tcPr>
            <w:tcW w:w="1395"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7</w:t>
            </w:r>
          </w:p>
        </w:tc>
      </w:tr>
    </w:tbl>
    <w:p>
      <w:pPr>
        <w:tabs>
          <w:tab w:val="left" w:pos="1071"/>
        </w:tabs>
        <w:spacing w:line="580" w:lineRule="exact"/>
        <w:ind w:firstLine="643" w:firstLineChars="200"/>
        <w:rPr>
          <w:rFonts w:hint="eastAsia" w:ascii="Times New Roman" w:hAnsi="Times New Roman" w:eastAsia="仿宋_GB2312" w:cs="Times New Roman"/>
          <w:b/>
          <w:color w:val="FF0000"/>
          <w:sz w:val="32"/>
          <w:lang w:eastAsia="zh-CN"/>
        </w:rPr>
      </w:pPr>
      <w:r>
        <w:rPr>
          <w:rFonts w:ascii="Times New Roman" w:hAnsi="Times New Roman" w:eastAsia="仿宋_GB2312" w:cs="Times New Roman"/>
          <w:b/>
          <w:sz w:val="32"/>
        </w:rPr>
        <w:t>2.学生管理</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仿宋_GB2312" w:eastAsia="仿宋_GB2312" w:cs="Times New Roman"/>
          <w:sz w:val="32"/>
        </w:rPr>
        <w:t>我校学生管理工作主要分为学校、学管处、班主任三级教育管理体系，学校层面主要起到统筹作用，对教育学生的方向进行统筹，主要是从校风校纪、校园环境、学风等方面制定学生管理的大框架。学管处主要起到管理学生的纽带作用，执行学校管理制度对学生进行管理，主要从学生学籍、助学金、疫情防控、学生活动、法治教育、思政教育、心理健康等方面展开管理。班主任是管理学生的第一线，班主任主要职责一是学生在学校日常学习和生活的监护人，二是通过“班会课”、“法治课堂”、“思政德育课堂”等形式引导学生树立正确的世界观、价值观、人生观，三是深入学生中解决学生在学习和生活上的难题、化解学生之间的矛盾，四是与家长沟通的桥梁，班主任将学生在校表现及时反馈给家长，协同家长共同教育学生。</w:t>
      </w:r>
    </w:p>
    <w:p>
      <w:pPr>
        <w:tabs>
          <w:tab w:val="left" w:pos="1071"/>
        </w:tabs>
        <w:spacing w:line="580" w:lineRule="exact"/>
        <w:ind w:firstLine="643" w:firstLineChars="200"/>
        <w:rPr>
          <w:rFonts w:hint="eastAsia" w:ascii="Times New Roman" w:hAnsi="Times New Roman" w:eastAsia="仿宋_GB2312" w:cs="Times New Roman"/>
          <w:b/>
          <w:color w:val="FF0000"/>
          <w:sz w:val="32"/>
          <w:lang w:eastAsia="zh-CN"/>
        </w:rPr>
      </w:pPr>
      <w:r>
        <w:rPr>
          <w:rFonts w:ascii="Times New Roman" w:hAnsi="Times New Roman" w:eastAsia="仿宋_GB2312" w:cs="Times New Roman"/>
          <w:b/>
          <w:sz w:val="32"/>
        </w:rPr>
        <w:t>3.教师管理</w:t>
      </w:r>
    </w:p>
    <w:p>
      <w:pPr>
        <w:tabs>
          <w:tab w:val="left" w:pos="1071"/>
        </w:tabs>
        <w:spacing w:line="580" w:lineRule="exact"/>
        <w:ind w:firstLine="640" w:firstLineChars="200"/>
        <w:rPr>
          <w:rFonts w:ascii="Times New Roman" w:hAnsi="仿宋_GB2312" w:eastAsia="仿宋_GB2312" w:cs="Times New Roman"/>
          <w:sz w:val="32"/>
        </w:rPr>
      </w:pPr>
      <w:r>
        <w:rPr>
          <w:rFonts w:hint="eastAsia" w:ascii="Times New Roman" w:hAnsi="仿宋_GB2312" w:eastAsia="仿宋_GB2312" w:cs="Times New Roman"/>
          <w:sz w:val="32"/>
        </w:rPr>
        <w:t>在教师管理方面，学校不断规范教师教学行为、严格教学秩序。教师严格按课表上课，不迟到、不早退，不擅自调课，坚决杜绝旷课现象，并按教学计划完成本职工作。实行教学“四禁止”，一禁无教案上课，二禁课堂上学生玩耍手机和睡觉现象，三禁教师上课期间随意进出和接听手机。四禁实训教学随意性和实训组织失控现象，教务处均对上述情况了进行检查，并将检查情况及时进行了通报。加强了常规检查，将教学日志、教室日志、教案及作业检查、教学进度检查、听课检查都纳入常规检查。监察室定期开展问卷调查、召开学生座谈会，及时了解各任课教师的教学情况，有的放矢地调整相应措施，提高教学质量。</w:t>
      </w:r>
    </w:p>
    <w:p>
      <w:pPr>
        <w:tabs>
          <w:tab w:val="left" w:pos="1071"/>
        </w:tabs>
        <w:spacing w:line="580" w:lineRule="exact"/>
        <w:ind w:firstLine="640" w:firstLineChars="200"/>
      </w:pPr>
      <w:r>
        <w:rPr>
          <w:rFonts w:hint="eastAsia" w:ascii="Times New Roman" w:hAnsi="Times New Roman" w:eastAsia="仿宋_GB2312" w:cs="Times New Roman"/>
          <w:sz w:val="32"/>
        </w:rPr>
        <w:t>学校根据班级数量情况（35个左右）聘用了一批政治觉悟高、责任心强的老师作为班主任，与学生管理处配合共同维护学校正常的教育教学工作。学校出台有《班级综合考核及班主任津贴发放暂行办法》，把班级管理和班主任工作纳入考核范畴，激发班主任的干事热情。</w:t>
      </w:r>
    </w:p>
    <w:p>
      <w:pPr>
        <w:tabs>
          <w:tab w:val="left" w:pos="1071"/>
        </w:tabs>
        <w:spacing w:line="580" w:lineRule="exact"/>
        <w:ind w:firstLine="643" w:firstLineChars="200"/>
        <w:rPr>
          <w:rFonts w:hint="eastAsia" w:ascii="Times New Roman" w:hAnsi="Times New Roman" w:eastAsia="仿宋_GB2312" w:cs="Times New Roman"/>
          <w:color w:val="FF0000"/>
          <w:sz w:val="32"/>
          <w:lang w:eastAsia="zh-CN"/>
        </w:rPr>
      </w:pPr>
      <w:r>
        <w:rPr>
          <w:rFonts w:ascii="Times New Roman" w:hAnsi="Times New Roman" w:eastAsia="仿宋_GB2312" w:cs="Times New Roman"/>
          <w:b/>
          <w:sz w:val="32"/>
        </w:rPr>
        <w:t>4.财务管理</w:t>
      </w:r>
    </w:p>
    <w:p>
      <w:pPr>
        <w:pStyle w:val="7"/>
        <w:shd w:val="clear" w:color="auto" w:fill="FFFFFF"/>
        <w:spacing w:before="0" w:beforeAutospacing="0" w:after="0" w:afterAutospacing="0" w:line="56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学校财务管理制度健全，有《财务管理暂行办法》、《有关会议、培训费的管理规定》、《关于进一步加强差旅费管理的通知》、《物资管理暂行办法》、《计划财务处工作职责》及各岗位工作职责等制度。在财务收支方面，学校按照市财政要求和学校财务相关制度，严格按国库集中支付方式开展财务各项收支工作；在物资采购方面，学校严格按物资采购制度，本着厉行节约原则开展物资采购工作；在设备管理方面，学校设有专门的设备管理岗，设备管理员严格按机关事务管理局要求进行资产管理。学校</w:t>
      </w:r>
      <w:r>
        <w:rPr>
          <w:rFonts w:ascii="Times New Roman" w:hAnsi="Times New Roman" w:eastAsia="仿宋_GB2312" w:cs="Times New Roman"/>
          <w:sz w:val="32"/>
        </w:rPr>
        <w:t>财务管理</w:t>
      </w:r>
      <w:r>
        <w:rPr>
          <w:rFonts w:hint="eastAsia" w:ascii="Times New Roman" w:hAnsi="Times New Roman" w:eastAsia="仿宋_GB2312" w:cs="Times New Roman"/>
          <w:sz w:val="32"/>
        </w:rPr>
        <w:t>、</w:t>
      </w:r>
      <w:r>
        <w:rPr>
          <w:rFonts w:ascii="Times New Roman" w:hAnsi="Times New Roman" w:eastAsia="仿宋_GB2312" w:cs="Times New Roman"/>
          <w:sz w:val="32"/>
        </w:rPr>
        <w:t>物资采购、</w:t>
      </w:r>
      <w:r>
        <w:rPr>
          <w:rFonts w:hint="eastAsia" w:ascii="Times New Roman" w:hAnsi="Times New Roman" w:eastAsia="仿宋_GB2312" w:cs="Times New Roman"/>
          <w:sz w:val="32"/>
        </w:rPr>
        <w:t>设备管理等工作规范有序。</w:t>
      </w:r>
    </w:p>
    <w:p>
      <w:pPr>
        <w:tabs>
          <w:tab w:val="left" w:pos="1071"/>
        </w:tabs>
        <w:spacing w:line="580" w:lineRule="exact"/>
        <w:ind w:firstLine="643" w:firstLineChars="200"/>
        <w:rPr>
          <w:rFonts w:hint="eastAsia" w:ascii="Times New Roman" w:hAnsi="Times New Roman" w:eastAsia="仿宋_GB2312" w:cs="Times New Roman"/>
          <w:b/>
          <w:color w:val="FF0000"/>
          <w:sz w:val="32"/>
          <w:lang w:eastAsia="zh-CN"/>
        </w:rPr>
      </w:pPr>
      <w:r>
        <w:rPr>
          <w:rFonts w:ascii="Times New Roman" w:hAnsi="Times New Roman" w:eastAsia="仿宋_GB2312" w:cs="Times New Roman"/>
          <w:b/>
          <w:sz w:val="32"/>
        </w:rPr>
        <w:t>5.后勤管理</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根据《四川省学校防控新型冠状病毒感染肺炎疫情卫生清洁消毒指南》，做好了卫生清洁、消毒消杀工作；防疫物资保障工作；应急处置准备和演练工作。</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强化安全保卫、卫生绿化、校产管理等工作，保持正常高效的工作秩序。建立完善安全责任制和责任追查制，强化安全教育和常规安全管理，突出抓好门卫管理、食品及饮水管理、消防用电管理、校舍设施安全管理、学生宿舍安全管理工作，定期或不定期开展隐患排查和督促检查，杜绝了人为事故。</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抓好了物资采购、校产管理和各类设备的维护和管理工作，确保国有资产安全可靠。</w:t>
      </w:r>
    </w:p>
    <w:p>
      <w:pPr>
        <w:tabs>
          <w:tab w:val="left" w:pos="1071"/>
        </w:tabs>
        <w:spacing w:line="580" w:lineRule="exact"/>
        <w:ind w:firstLine="643" w:firstLineChars="200"/>
        <w:rPr>
          <w:rFonts w:ascii="Times New Roman" w:hAnsi="Times New Roman" w:eastAsia="仿宋_GB2312" w:cs="Times New Roman"/>
          <w:b/>
          <w:sz w:val="32"/>
        </w:rPr>
      </w:pPr>
      <w:r>
        <w:rPr>
          <w:rFonts w:hint="eastAsia" w:ascii="Times New Roman" w:hAnsi="Times New Roman" w:eastAsia="仿宋_GB2312" w:cs="Times New Roman"/>
          <w:b/>
          <w:sz w:val="32"/>
        </w:rPr>
        <w:t>6</w:t>
      </w:r>
      <w:r>
        <w:rPr>
          <w:rFonts w:ascii="Times New Roman" w:hAnsi="Times New Roman" w:eastAsia="仿宋_GB2312" w:cs="Times New Roman"/>
          <w:b/>
          <w:sz w:val="32"/>
        </w:rPr>
        <w:t>.</w:t>
      </w:r>
      <w:r>
        <w:rPr>
          <w:rFonts w:hint="eastAsia" w:ascii="Times New Roman" w:hAnsi="Times New Roman" w:eastAsia="仿宋_GB2312" w:cs="Times New Roman"/>
          <w:b/>
          <w:sz w:val="32"/>
        </w:rPr>
        <w:t>安全</w:t>
      </w:r>
      <w:r>
        <w:rPr>
          <w:rFonts w:ascii="Times New Roman" w:hAnsi="Times New Roman" w:eastAsia="仿宋_GB2312" w:cs="Times New Roman"/>
          <w:b/>
          <w:sz w:val="32"/>
        </w:rPr>
        <w:t>管理</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始终坚持“教学质量与安全工作两手抓、两手都要硬”的思想意识，牢固树立“珍惜生命，安全第一”的安全意识。坚持学院安全事故隐患排查整治常态化，专项抽查同全面排查相结合。定期组织力量按要求进行安全隐患大排查，对排查出的事故隐患，及时落实整改措施、整改时限和整改责任。对重大隐患，后勤处及时督办、一抓到底，坚决整改到位，确保不发生安全责任事故。</w:t>
      </w:r>
    </w:p>
    <w:p>
      <w:pPr>
        <w:tabs>
          <w:tab w:val="left" w:pos="1071"/>
        </w:tabs>
        <w:spacing w:line="580" w:lineRule="exact"/>
        <w:ind w:firstLine="640" w:firstLineChars="200"/>
      </w:pPr>
      <w:r>
        <w:rPr>
          <w:rFonts w:hint="eastAsia" w:ascii="Times New Roman" w:hAnsi="Times New Roman" w:eastAsia="仿宋_GB2312" w:cs="Times New Roman"/>
          <w:sz w:val="32"/>
        </w:rPr>
        <w:t>安全检查突出防火、用电、防雷和饮食卫生等重点。定期对食堂从业人员进行业务培训，定期组织他们健康检查，做到持证上岗，严禁以包代管。定期对学院食堂超市进行检查，严把进货质量关，决不让假冒伪劣商品、三无商品和过期变质食品流入校园。加强对体育器械、运动场所、实验设备等教育教学设施设备的管理和检查，确保各项教育教学工作平安顺利发展。</w:t>
      </w:r>
    </w:p>
    <w:p>
      <w:pPr>
        <w:tabs>
          <w:tab w:val="left" w:pos="1071"/>
        </w:tabs>
        <w:spacing w:line="580" w:lineRule="exact"/>
        <w:ind w:firstLine="643" w:firstLineChars="200"/>
        <w:rPr>
          <w:rFonts w:hint="eastAsia" w:ascii="Times New Roman" w:hAnsi="Times New Roman" w:eastAsia="仿宋_GB2312" w:cs="Times New Roman"/>
          <w:b/>
          <w:color w:val="FF0000"/>
          <w:sz w:val="32"/>
          <w:lang w:eastAsia="zh-CN"/>
        </w:rPr>
      </w:pPr>
      <w:r>
        <w:rPr>
          <w:rFonts w:ascii="Times New Roman" w:hAnsi="Times New Roman" w:eastAsia="仿宋_GB2312" w:cs="Times New Roman"/>
          <w:b/>
          <w:sz w:val="32"/>
        </w:rPr>
        <w:t>7.教科研管理</w:t>
      </w:r>
    </w:p>
    <w:p>
      <w:pPr>
        <w:tabs>
          <w:tab w:val="left" w:pos="1071"/>
        </w:tabs>
        <w:spacing w:line="580" w:lineRule="exact"/>
        <w:ind w:firstLine="640" w:firstLineChars="200"/>
      </w:pPr>
      <w:r>
        <w:rPr>
          <w:rFonts w:hint="eastAsia" w:ascii="Times New Roman" w:hAnsi="Times New Roman" w:eastAsia="仿宋_GB2312" w:cs="Times New Roman"/>
          <w:sz w:val="32"/>
        </w:rPr>
        <w:t>学校非常重视教科研工作，构建了由教学副校长分管，教务处—教研室—教研组组成的三级教研体系，学校设立了机电、汽车应用与维修、计算机应用、财经旅游、汽车驾驶技能五个教研室，下设14个教研组，每学年开展不低于12次的校内教研活动，校外教研100人次以上。2020年学校主研的中国管理科学研究院教育科学研究所教育发展研究规划课题《中等职业学校会计专业课“理论与实践一体化”教学模式的研究》顺利结题；学校教师参与主研的四川省社会科学规划项目课题《四川省职业教育产教对接评价指标体系建构研究》顺利结题。2020年教师发表国家级论文29篇，省级论文7篇；组织学校院教师参加2020年自贡市中等职业教师优秀论文评选，共推荐17篇论文参评，获一等奖3篇、二等奖3篇、三等奖8篇。2021年教师发表国家级论文14篇，省级论文8篇；组织学校教师参加2021年自贡市中等职业教师优秀论文评选，共推荐16篇论文参评，获二等奖3篇、三等奖5篇，推荐参加四川省2021年中等职业教育优秀论文评选获二等奖1篇。</w:t>
      </w:r>
    </w:p>
    <w:p>
      <w:pPr>
        <w:tabs>
          <w:tab w:val="left" w:pos="1071"/>
        </w:tabs>
        <w:spacing w:line="580" w:lineRule="exact"/>
        <w:ind w:firstLine="643" w:firstLineChars="200"/>
        <w:rPr>
          <w:rFonts w:hint="eastAsia" w:ascii="Times New Roman" w:hAnsi="Times New Roman" w:eastAsia="仿宋_GB2312" w:cs="Times New Roman"/>
          <w:b/>
          <w:color w:val="FF0000"/>
          <w:sz w:val="32"/>
          <w:lang w:eastAsia="zh-CN"/>
        </w:rPr>
      </w:pPr>
      <w:r>
        <w:rPr>
          <w:rFonts w:ascii="Times New Roman" w:hAnsi="Times New Roman" w:eastAsia="仿宋_GB2312" w:cs="Times New Roman"/>
          <w:b/>
          <w:sz w:val="32"/>
        </w:rPr>
        <w:t>8.管理队伍建设</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 xml:space="preserve"> 学校现有校级领导3人（2021年8月严宗亚调入任党委书记，杨毅刚因临近退休免去副院长职务），中层领导干部23人，于2016年通过竞聘上岗，学历达标100%，管理干部作风正派、廉洁、求真、务实，密切联系群众，有强烈的进取心和责任感。学校实行校长责任制，组织干部外出学习，鼓励干部在实践中学习管理艺术，提高管理能力。2020年7月至今校长、书记参加了“自贡市践行新发展理念干部专业化能力提升班”培训；2019年10月校长参加“北京大学四川省2019年新时代治蜀兴川执政骨干递进培养年轻干部铸魂工程一一中青班”培训；2019年9月至2021年8月部分中层干部参加了“四川省高技能人才培养干部管理高级研修班”、“自贡市中小学校长治理能力提升班”、“四川省职业院校教师素质提高‘国培’项目”、“专业带头人领军能力研修项目”、“中西部地区职业院校教师信息化教学能力培训”等培训。</w:t>
      </w:r>
    </w:p>
    <w:p>
      <w:pPr>
        <w:pStyle w:val="3"/>
        <w:numPr>
          <w:ilvl w:val="0"/>
          <w:numId w:val="0"/>
        </w:numPr>
        <w:spacing w:line="580" w:lineRule="exact"/>
        <w:ind w:left="0" w:leftChars="0" w:firstLine="640" w:firstLineChars="200"/>
        <w:rPr>
          <w:rFonts w:hint="eastAsia" w:ascii="Times New Roman" w:hAnsi="Times New Roman" w:eastAsia="楷体_GB2312" w:cs="Times New Roman"/>
          <w:b w:val="0"/>
          <w:color w:val="FF0000"/>
          <w:lang w:eastAsia="zh-CN"/>
        </w:rPr>
      </w:pPr>
      <w:r>
        <w:rPr>
          <w:rFonts w:hint="eastAsia" w:ascii="Times New Roman" w:hAnsi="Times New Roman" w:eastAsia="楷体_GB2312" w:cs="Times New Roman"/>
          <w:b w:val="0"/>
          <w:lang w:val="en-US" w:eastAsia="zh-CN"/>
        </w:rPr>
        <w:t>（二）</w:t>
      </w:r>
      <w:r>
        <w:rPr>
          <w:rFonts w:ascii="Times New Roman" w:hAnsi="Times New Roman" w:eastAsia="楷体_GB2312" w:cs="Times New Roman"/>
          <w:b w:val="0"/>
        </w:rPr>
        <w:t>德育工作情况</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1.德育工作建设</w:t>
      </w:r>
    </w:p>
    <w:p>
      <w:pPr>
        <w:tabs>
          <w:tab w:val="left" w:pos="1071"/>
        </w:tabs>
        <w:spacing w:line="580" w:lineRule="exact"/>
        <w:ind w:firstLine="640" w:firstLineChars="200"/>
        <w:rPr>
          <w:rFonts w:ascii="Times New Roman" w:hAnsi="Times New Roman" w:eastAsia="仿宋_GB2312" w:cs="Times New Roman"/>
          <w:sz w:val="32"/>
        </w:rPr>
      </w:pPr>
      <w:r>
        <w:rPr>
          <w:rFonts w:hint="eastAsia" w:ascii="Times New Roman" w:hAnsi="Times New Roman" w:eastAsia="仿宋_GB2312" w:cs="Times New Roman"/>
          <w:sz w:val="32"/>
        </w:rPr>
        <w:t>学校始终坚持德育为先，立德树人，把社会主义核心价值观融入到德育教育的全过程，通过加强劳动教育，组织学生积极参加校内外活动，提升能力，服务社会。通过德育课、党史课、国情教育、思想教育等专题课，让学生热爱党，热爱祖国，热爱人民。通过检校、警校合作，让学生知法、守法、用法，组织学生清明扫墓等活动，激发学生学习先烈，报效祖国的爱国主义热情，加强学生意识形态教育，大力宣传“工匠精神”，将工匠精神融入到校园文化建设中，积极培养中高级技能人才。</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表33 2020-2021年德育工作情况一览表</w:t>
      </w:r>
    </w:p>
    <w:tbl>
      <w:tblPr>
        <w:tblStyle w:val="9"/>
        <w:tblW w:w="5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2"/>
        <w:gridCol w:w="1559"/>
        <w:gridCol w:w="141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年度</w:t>
            </w:r>
          </w:p>
        </w:tc>
        <w:tc>
          <w:tcPr>
            <w:tcW w:w="1559"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德育机构名称</w:t>
            </w:r>
          </w:p>
        </w:tc>
        <w:tc>
          <w:tcPr>
            <w:tcW w:w="1418" w:type="dxa"/>
            <w:vAlign w:val="center"/>
          </w:tcPr>
          <w:p>
            <w:pPr>
              <w:adjustRightInd w:val="0"/>
              <w:jc w:val="center"/>
              <w:rPr>
                <w:rFonts w:ascii="Times New Roman" w:hAnsi="Times New Roman" w:eastAsia="仿宋_GB2312" w:cs="Times New Roman"/>
                <w:b/>
                <w:szCs w:val="21"/>
              </w:rPr>
            </w:pPr>
            <w:r>
              <w:rPr>
                <w:rFonts w:ascii="Times New Roman" w:hAnsi="Times New Roman" w:eastAsia="仿宋_GB2312" w:cs="Times New Roman"/>
                <w:b/>
                <w:szCs w:val="21"/>
              </w:rPr>
              <w:t>德育课教师数（人）</w:t>
            </w:r>
          </w:p>
        </w:tc>
        <w:tc>
          <w:tcPr>
            <w:tcW w:w="1701" w:type="dxa"/>
            <w:vAlign w:val="center"/>
          </w:tcPr>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德育课程开设情况</w:t>
            </w:r>
          </w:p>
          <w:p>
            <w:pPr>
              <w:tabs>
                <w:tab w:val="left" w:pos="1071"/>
              </w:tabs>
              <w:spacing w:line="300"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（学时/周）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2020</w:t>
            </w:r>
          </w:p>
        </w:tc>
        <w:tc>
          <w:tcPr>
            <w:tcW w:w="155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学管处</w:t>
            </w:r>
          </w:p>
        </w:tc>
        <w:tc>
          <w:tcPr>
            <w:tcW w:w="14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64</w:t>
            </w:r>
          </w:p>
        </w:tc>
        <w:tc>
          <w:tcPr>
            <w:tcW w:w="170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2学时/周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62" w:type="dxa"/>
            <w:vAlign w:val="center"/>
          </w:tcPr>
          <w:p>
            <w:pPr>
              <w:tabs>
                <w:tab w:val="left" w:pos="1071"/>
              </w:tabs>
              <w:spacing w:line="300" w:lineRule="exact"/>
              <w:jc w:val="center"/>
              <w:rPr>
                <w:rFonts w:ascii="Times New Roman" w:hAnsi="Times New Roman" w:eastAsia="仿宋_GB2312" w:cs="Times New Roman"/>
                <w:szCs w:val="21"/>
              </w:rPr>
            </w:pPr>
            <w:r>
              <w:rPr>
                <w:rFonts w:ascii="Times New Roman" w:hAnsi="Times New Roman" w:eastAsia="仿宋_GB2312" w:cs="Times New Roman"/>
                <w:szCs w:val="21"/>
              </w:rPr>
              <w:t>2021</w:t>
            </w:r>
          </w:p>
        </w:tc>
        <w:tc>
          <w:tcPr>
            <w:tcW w:w="1559"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学管处</w:t>
            </w:r>
          </w:p>
        </w:tc>
        <w:tc>
          <w:tcPr>
            <w:tcW w:w="1418"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52</w:t>
            </w:r>
          </w:p>
        </w:tc>
        <w:tc>
          <w:tcPr>
            <w:tcW w:w="1701" w:type="dxa"/>
            <w:vAlign w:val="center"/>
          </w:tcPr>
          <w:p>
            <w:pPr>
              <w:spacing w:line="300" w:lineRule="exact"/>
              <w:jc w:val="center"/>
              <w:rPr>
                <w:rFonts w:ascii="Times New Roman" w:hAnsi="Times New Roman" w:eastAsia="仿宋_GB2312" w:cs="Times New Roman"/>
                <w:szCs w:val="21"/>
              </w:rPr>
            </w:pPr>
            <w:r>
              <w:rPr>
                <w:rFonts w:hint="eastAsia" w:ascii="Times New Roman" w:hAnsi="Times New Roman" w:eastAsia="仿宋_GB2312" w:cs="Times New Roman"/>
                <w:szCs w:val="21"/>
              </w:rPr>
              <w:t>2学时/周</w:t>
            </w:r>
          </w:p>
        </w:tc>
      </w:tr>
    </w:tbl>
    <w:p>
      <w:pPr>
        <w:tabs>
          <w:tab w:val="left" w:pos="1071"/>
        </w:tabs>
        <w:spacing w:line="580" w:lineRule="exact"/>
        <w:ind w:firstLine="643" w:firstLineChars="200"/>
        <w:rPr>
          <w:rFonts w:ascii="Times New Roman" w:hAnsi="Times New Roman" w:eastAsia="仿宋_GB2312" w:cs="Times New Roman"/>
          <w:sz w:val="32"/>
        </w:rPr>
      </w:pPr>
      <w:r>
        <w:rPr>
          <w:rFonts w:ascii="Times New Roman" w:hAnsi="Times New Roman" w:eastAsia="仿宋_GB2312" w:cs="Times New Roman"/>
          <w:b/>
          <w:sz w:val="32"/>
        </w:rPr>
        <w:t>2.文化育人工作</w:t>
      </w:r>
    </w:p>
    <w:p>
      <w:pPr>
        <w:tabs>
          <w:tab w:val="left" w:pos="1071"/>
        </w:tabs>
        <w:spacing w:line="580" w:lineRule="exact"/>
        <w:ind w:firstLine="640" w:firstLineChars="200"/>
      </w:pPr>
      <w:r>
        <w:rPr>
          <w:rFonts w:hint="eastAsia" w:ascii="Times New Roman" w:hAnsi="Times New Roman" w:eastAsia="仿宋_GB2312" w:cs="Times New Roman"/>
          <w:sz w:val="32"/>
        </w:rPr>
        <w:t>坚持“德育为先，立德树人”以养成教育为核心，时刻树立教书育人，管理育人，服务育人的思想，抓好班主任队伍的建设、培养、管理、提升，加强校园文化建设，用校园文化理念育，组织老师外出学习，积极开展德育工作研讨会，通过检校合作，警校合作，让学生成为遵纪守法的中职学生。开展戒烟、禁毒、防疫、反诈、防艾等专题宣传，提升学生素质和能力，加强学生意识形态教育，指导学生树立正确的人生观，价值观，就业观，将社会主义核心价值观融入到德育教育的全过程，培养高素质的技能型人才。</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包括德育课实施情况，校园文化建设、开学第一课活动开展情况、劳动教育、社团活动、团组织学生会建设及活动等方面。</w:t>
      </w:r>
    </w:p>
    <w:p>
      <w:pPr>
        <w:tabs>
          <w:tab w:val="left" w:pos="1071"/>
        </w:tabs>
        <w:spacing w:line="580" w:lineRule="exact"/>
        <w:ind w:firstLine="640" w:firstLineChars="200"/>
      </w:pPr>
      <w:r>
        <w:rPr>
          <w:rFonts w:hint="eastAsia" w:ascii="Times New Roman" w:hAnsi="Times New Roman" w:eastAsia="仿宋_GB2312" w:cs="Times New Roman"/>
          <w:sz w:val="32"/>
        </w:rPr>
        <w:t>每周开展2课时德育课，利用校园内宣传栏，黑板报，校园广播多方式对学校校训等进行宣传，在条件允许的情况下，组织志愿者、共青团员到社区、公园等公共场所进行志愿服务。每学期开校，结合当下实际情况坚持开展好开学第一课，增强了学生学习氛围。</w:t>
      </w:r>
    </w:p>
    <w:p>
      <w:pPr>
        <w:pStyle w:val="3"/>
        <w:spacing w:line="580" w:lineRule="exact"/>
        <w:ind w:left="0" w:firstLine="640" w:firstLineChars="200"/>
        <w:rPr>
          <w:rFonts w:hint="eastAsia" w:ascii="Times New Roman" w:hAnsi="Times New Roman" w:eastAsia="楷体_GB2312" w:cs="Times New Roman"/>
          <w:b w:val="0"/>
          <w:lang w:eastAsia="zh-CN"/>
        </w:rPr>
      </w:pPr>
      <w:r>
        <w:rPr>
          <w:rFonts w:ascii="Times New Roman" w:hAnsi="Times New Roman" w:eastAsia="楷体_GB2312" w:cs="Times New Roman"/>
          <w:b w:val="0"/>
        </w:rPr>
        <w:t>（三）党建工作情况</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1.党组织建设</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学校党委下设4个基层党支部，党员82人，专兼职党务干部15人。学校党委坚持以习近平新时代中国特色社会主义思想为指导，深入学习宣传贯彻习近平总书记对职业教育工作重要指示精神，坚决落实党中央、省委和市委重大决策部署，推进基层党建工作重点任务。紧紧围绕“长短结合、高低并举、内外兼修”改革发展中心和立德树人根本任务，充分发挥政治核心作用和战斗堡垒作用，全面贯彻党的教育方针，积极探索党建和教育教学、管理服务等方面工作有机结合的有效途径，提高了党组织的创造力、凝聚力和战斗力，取得了显著的育人效果。严肃党内政治生活，抓好基层党支部“三会一课”、组织生活会制度，严肃换届纪律，加强党员队伍建设和教育培训，严格发展党员标准和程序。以“不忘初心，牢记使命”、党史学习教育等主题教育为指导，开展全校性政治理论学习和党员主题党日活动。严格落实党风廉政责任，定期召开专题会议研究部署，层层传导压力，开展警示教育和廉政宣传，加强日常教育提醒，排查岗位廉政风险点，完善廉政风险防控措施，紧盯重要时间节点，加强监督检查。严格落实意识形态工作责任制，加强政治引领，扛牢政治责任，定期分析研判，制定考核办法，积极发挥课堂教学主阵地和德育课主渠道作用，举办学生法治成年礼活动，强化校园网络和信息安全管理。坚持服务中心大局，以抓好疫情常态化防控，助力乡村振兴、申办技师学院、推进教育教学改革等事项为抓手，通过党员的带头和辐射作用，提高全校教职员工素质。2021年6月，1名同志被中共自贡市委表彰为“优秀共产党员”，11月当选自贡市第十三次党代会代表。</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2.党员队伍建设</w:t>
      </w:r>
    </w:p>
    <w:p>
      <w:pPr>
        <w:ind w:firstLine="640" w:firstLineChars="200"/>
        <w:rPr>
          <w:rFonts w:ascii="仿宋_GB2312" w:hAnsi="仿宋_GB2312" w:eastAsia="仿宋_GB2312" w:cs="仿宋_GB2312"/>
          <w:sz w:val="32"/>
          <w:szCs w:val="32"/>
        </w:rPr>
      </w:pPr>
      <w:r>
        <w:rPr>
          <w:rFonts w:hint="eastAsia" w:eastAsia="仿宋_GB2312"/>
          <w:sz w:val="32"/>
          <w:szCs w:val="32"/>
        </w:rPr>
        <w:t>学校党委认真贯彻新时期发展党员工作原则，按照控制总量、优化结构、提高质量、发挥作用的总要求，坚持党章规定的党员标准，始终把政治标准放在首位，有领导、有计划的做好党员发展工作。</w:t>
      </w:r>
      <w:r>
        <w:rPr>
          <w:rFonts w:hint="eastAsia" w:ascii="仿宋_GB2312" w:hAnsi="仿宋_GB2312" w:eastAsia="仿宋_GB2312" w:cs="仿宋_GB2312"/>
          <w:sz w:val="32"/>
          <w:szCs w:val="32"/>
        </w:rPr>
        <w:t>2020-2021学年度，培养入党积极分子5名，发展党员11名，按期转正9名。</w:t>
      </w:r>
    </w:p>
    <w:p>
      <w:pPr>
        <w:ind w:firstLine="640" w:firstLineChars="200"/>
        <w:rPr>
          <w:rFonts w:ascii="仿宋_GB2312" w:hAnsi="仿宋_GB2312" w:eastAsia="仿宋_GB2312" w:cs="仿宋_GB2312"/>
          <w:sz w:val="32"/>
          <w:szCs w:val="32"/>
        </w:rPr>
      </w:pPr>
      <w:r>
        <w:rPr>
          <w:rFonts w:hint="eastAsia" w:eastAsia="仿宋_GB2312"/>
          <w:sz w:val="32"/>
          <w:szCs w:val="32"/>
        </w:rPr>
        <w:t>学校党委不断丰富党员活动载体，开展多种形式的主题活动，引导教育</w:t>
      </w:r>
      <w:r>
        <w:rPr>
          <w:rFonts w:hint="eastAsia" w:ascii="仿宋_GB2312" w:hAnsi="仿宋_GB2312" w:eastAsia="仿宋_GB2312" w:cs="仿宋_GB2312"/>
          <w:sz w:val="32"/>
          <w:szCs w:val="32"/>
        </w:rPr>
        <w:t>广大党员继承和弘扬党的优良传统，</w:t>
      </w:r>
      <w:r>
        <w:rPr>
          <w:rFonts w:hint="eastAsia" w:eastAsia="仿宋_GB2312"/>
          <w:sz w:val="32"/>
          <w:szCs w:val="32"/>
        </w:rPr>
        <w:t>以实际行动和工作成效践行初心、使命。</w:t>
      </w:r>
      <w:r>
        <w:rPr>
          <w:rFonts w:hint="eastAsia" w:ascii="仿宋_GB2312" w:hAnsi="仿宋_GB2312" w:eastAsia="仿宋_GB2312" w:cs="仿宋_GB2312"/>
          <w:sz w:val="32"/>
          <w:szCs w:val="32"/>
        </w:rPr>
        <w:t>2020-2021学年度，共开展“三会一课”213次，其中，党员领导干部、支部书记为党员同志讲专题党课31次，主题党日活动62次，专题组织生活会7次。组织全体党员同志深入学习贯彻习近平新时代中国特色社会主义思想、习近平总书记“七一”重要讲话精神，学习党的十九届四中、五中、六中全会，省委十一届、十二届历次全会、市委十二届历次全会和市第十三次党代会精神，进一步凝聚磅礴力量，激发昂扬斗志，不断提升党员干部理论学习水平。分层级观看《作风建设永远在路上》、《扭曲的权力》和《黑白人生》等警示教育片，持续推进作风建设常态化、长效化。扎实开展“不忘初心、牢记使命”主题教育和党史学习教育，集中收看“不忘初心、牢记使命”自贡市迎“七一”五千党支部同上一堂党课网络直播活动；组织开展“迎七一、学党章、知党史”“学党史、守初心、担使命”知识竞赛和庆祝中国共产党成立100周年征文活动；组织党员同志前往烈士陵园、吴玉章故居开展“铭记党史、祭奠英烈”“传承红色基因.弘扬革命精神”</w:t>
      </w:r>
      <w:r>
        <w:rPr>
          <w:rFonts w:hint="eastAsia" w:ascii="仿宋_GB2312" w:hAnsi="仿宋_GB2312" w:eastAsia="仿宋_GB2312" w:cs="仿宋_GB2312"/>
          <w:kern w:val="0"/>
          <w:sz w:val="32"/>
          <w:szCs w:val="32"/>
          <w:shd w:val="clear" w:color="auto" w:fill="FFFFFF"/>
        </w:rPr>
        <w:t>主题党日活动</w:t>
      </w:r>
      <w:r>
        <w:rPr>
          <w:rFonts w:hint="eastAsia" w:ascii="仿宋_GB2312" w:hAnsi="仿宋_GB2312" w:eastAsia="仿宋_GB2312" w:cs="仿宋_GB2312"/>
          <w:sz w:val="32"/>
          <w:szCs w:val="32"/>
        </w:rPr>
        <w:t>；</w:t>
      </w:r>
      <w:r>
        <w:rPr>
          <w:rFonts w:hint="eastAsia" w:ascii="仿宋_GB2312" w:hAnsi="仿宋_GB2312" w:eastAsia="仿宋_GB2312" w:cs="仿宋_GB2312"/>
          <w:spacing w:val="8"/>
          <w:sz w:val="32"/>
          <w:szCs w:val="32"/>
          <w:shd w:val="clear" w:color="auto" w:fill="FFFFFF"/>
        </w:rPr>
        <w:t>组织师生开展</w:t>
      </w:r>
      <w:r>
        <w:rPr>
          <w:rFonts w:hint="eastAsia" w:ascii="仿宋_GB2312" w:hAnsi="仿宋_GB2312" w:eastAsia="仿宋_GB2312" w:cs="仿宋_GB2312"/>
          <w:sz w:val="32"/>
          <w:szCs w:val="32"/>
        </w:rPr>
        <w:t>“我与</w:t>
      </w:r>
      <w:r>
        <w:rPr>
          <w:rFonts w:hint="eastAsia" w:ascii="仿宋_GB2312" w:hAnsi="仿宋_GB2312" w:eastAsia="仿宋_GB2312" w:cs="仿宋_GB2312"/>
          <w:sz w:val="32"/>
          <w:szCs w:val="32"/>
          <w:shd w:val="clear" w:color="auto" w:fill="FFFFFF"/>
        </w:rPr>
        <w:t>国旗合个影”和</w:t>
      </w:r>
      <w:r>
        <w:rPr>
          <w:rFonts w:hint="eastAsia" w:ascii="仿宋_GB2312" w:hAnsi="仿宋_GB2312" w:eastAsia="仿宋_GB2312" w:cs="仿宋_GB2312"/>
          <w:kern w:val="0"/>
          <w:sz w:val="32"/>
          <w:szCs w:val="32"/>
          <w:shd w:val="clear" w:color="auto" w:fill="FFFFFF"/>
        </w:rPr>
        <w:t>“弘扬江姐精神品格、赓续红色精神血脉”等</w:t>
      </w:r>
      <w:r>
        <w:rPr>
          <w:rFonts w:hint="eastAsia" w:ascii="仿宋_GB2312" w:hAnsi="仿宋_GB2312" w:eastAsia="仿宋_GB2312" w:cs="仿宋_GB2312"/>
          <w:sz w:val="32"/>
          <w:szCs w:val="32"/>
        </w:rPr>
        <w:t>主题活动。着力突出先进典型示范教育，深入学习周永开、罗庆峰、邹德才等同志先进事迹，慰问我校获得市级党内功勋荣誉的优秀共产党员，评选表扬一批优秀共产党员、党务工作者和先进基层党组织，号召党员干部职工学先进、争先进，在实现各项工作高质量发展上做出新贡献。</w:t>
      </w:r>
    </w:p>
    <w:p>
      <w:pPr>
        <w:pStyle w:val="2"/>
        <w:spacing w:line="580" w:lineRule="exact"/>
        <w:ind w:firstLine="640" w:firstLineChars="200"/>
        <w:rPr>
          <w:rFonts w:hint="eastAsia" w:ascii="Times New Roman" w:hAnsi="Times New Roman" w:eastAsia="黑体" w:cs="Times New Roman"/>
          <w:sz w:val="32"/>
          <w:szCs w:val="32"/>
          <w:lang w:eastAsia="zh-CN"/>
        </w:rPr>
      </w:pPr>
      <w:r>
        <w:rPr>
          <w:rFonts w:ascii="Times New Roman" w:hAnsi="Times New Roman" w:eastAsia="黑体" w:cs="Times New Roman"/>
          <w:sz w:val="32"/>
          <w:szCs w:val="32"/>
        </w:rPr>
        <w:t>六、就业创业</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（一）就业创业情况</w:t>
      </w:r>
    </w:p>
    <w:p>
      <w:pPr>
        <w:tabs>
          <w:tab w:val="left" w:pos="1071"/>
        </w:tabs>
        <w:spacing w:line="580" w:lineRule="exact"/>
        <w:ind w:firstLine="643" w:firstLineChars="200"/>
        <w:rPr>
          <w:rFonts w:ascii="Times New Roman" w:hAnsi="Times New Roman" w:eastAsia="仿宋_GB2312" w:cs="Times New Roman"/>
          <w:sz w:val="32"/>
        </w:rPr>
      </w:pPr>
      <w:r>
        <w:rPr>
          <w:rFonts w:ascii="Times New Roman" w:hAnsi="Times New Roman" w:eastAsia="仿宋_GB2312" w:cs="Times New Roman"/>
          <w:b/>
          <w:sz w:val="32"/>
        </w:rPr>
        <w:t>1.就业去向分布</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表34 2020-2021年学校毕业生就业去向分布表</w:t>
      </w:r>
    </w:p>
    <w:tbl>
      <w:tblPr>
        <w:tblStyle w:val="12"/>
        <w:tblW w:w="9067"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6"/>
        <w:gridCol w:w="1980"/>
        <w:gridCol w:w="1560"/>
        <w:gridCol w:w="1560"/>
        <w:gridCol w:w="1560"/>
        <w:gridCol w:w="1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46" w:type="dxa"/>
            <w:vMerge w:val="restart"/>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序号</w:t>
            </w:r>
          </w:p>
        </w:tc>
        <w:tc>
          <w:tcPr>
            <w:tcW w:w="1980" w:type="dxa"/>
            <w:vMerge w:val="restart"/>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就业类型</w:t>
            </w:r>
          </w:p>
        </w:tc>
        <w:tc>
          <w:tcPr>
            <w:tcW w:w="3120" w:type="dxa"/>
            <w:gridSpan w:val="2"/>
            <w:vAlign w:val="center"/>
          </w:tcPr>
          <w:p>
            <w:pPr>
              <w:pStyle w:val="11"/>
              <w:adjustRightInd w:val="0"/>
              <w:snapToGrid w:val="0"/>
              <w:jc w:val="center"/>
              <w:rPr>
                <w:rFonts w:ascii="Times New Roman" w:hAnsi="Times New Roman" w:eastAsia="仿宋" w:cs="Times New Roman"/>
                <w:b/>
              </w:rPr>
            </w:pPr>
            <w:r>
              <w:rPr>
                <w:rFonts w:ascii="Times New Roman" w:hAnsi="Times New Roman" w:cs="Times New Roman"/>
                <w:b/>
              </w:rPr>
              <w:t>2020</w:t>
            </w:r>
            <w:r>
              <w:rPr>
                <w:rFonts w:ascii="Times New Roman" w:hAnsi="Times New Roman" w:eastAsia="仿宋" w:cs="Times New Roman"/>
                <w:b/>
              </w:rPr>
              <w:t>年</w:t>
            </w:r>
          </w:p>
        </w:tc>
        <w:tc>
          <w:tcPr>
            <w:tcW w:w="3121" w:type="dxa"/>
            <w:gridSpan w:val="2"/>
            <w:vAlign w:val="center"/>
          </w:tcPr>
          <w:p>
            <w:pPr>
              <w:pStyle w:val="11"/>
              <w:adjustRightInd w:val="0"/>
              <w:snapToGrid w:val="0"/>
              <w:jc w:val="center"/>
              <w:rPr>
                <w:rFonts w:ascii="Times New Roman" w:hAnsi="Times New Roman" w:eastAsia="仿宋" w:cs="Times New Roman"/>
                <w:b/>
              </w:rPr>
            </w:pPr>
            <w:r>
              <w:rPr>
                <w:rFonts w:ascii="Times New Roman" w:hAnsi="Times New Roman" w:cs="Times New Roman"/>
                <w:b/>
              </w:rPr>
              <w:t>2021</w:t>
            </w:r>
            <w:r>
              <w:rPr>
                <w:rFonts w:ascii="Times New Roman" w:hAnsi="Times New Roman" w:eastAsia="仿宋" w:cs="Times New Roman"/>
                <w:b/>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46" w:type="dxa"/>
            <w:vMerge w:val="continue"/>
            <w:tcBorders>
              <w:top w:val="nil"/>
            </w:tcBorders>
            <w:vAlign w:val="center"/>
          </w:tcPr>
          <w:p>
            <w:pPr>
              <w:adjustRightInd w:val="0"/>
              <w:snapToGrid w:val="0"/>
              <w:jc w:val="center"/>
              <w:rPr>
                <w:rFonts w:ascii="Times New Roman" w:hAnsi="Times New Roman" w:cs="Times New Roman"/>
                <w:sz w:val="2"/>
                <w:szCs w:val="2"/>
              </w:rPr>
            </w:pPr>
          </w:p>
        </w:tc>
        <w:tc>
          <w:tcPr>
            <w:tcW w:w="1980" w:type="dxa"/>
            <w:vMerge w:val="continue"/>
            <w:tcBorders>
              <w:top w:val="nil"/>
            </w:tcBorders>
            <w:vAlign w:val="center"/>
          </w:tcPr>
          <w:p>
            <w:pPr>
              <w:adjustRightInd w:val="0"/>
              <w:snapToGrid w:val="0"/>
              <w:jc w:val="center"/>
              <w:rPr>
                <w:rFonts w:ascii="Times New Roman" w:hAnsi="Times New Roman" w:cs="Times New Roman"/>
                <w:sz w:val="2"/>
                <w:szCs w:val="2"/>
              </w:rPr>
            </w:pPr>
          </w:p>
        </w:tc>
        <w:tc>
          <w:tcPr>
            <w:tcW w:w="1560" w:type="dxa"/>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数量（人）</w:t>
            </w:r>
          </w:p>
        </w:tc>
        <w:tc>
          <w:tcPr>
            <w:tcW w:w="1560" w:type="dxa"/>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比例（</w:t>
            </w:r>
            <w:r>
              <w:rPr>
                <w:rFonts w:ascii="Times New Roman" w:hAnsi="Times New Roman" w:cs="Times New Roman"/>
                <w:b/>
              </w:rPr>
              <w:t>%</w:t>
            </w:r>
            <w:r>
              <w:rPr>
                <w:rFonts w:ascii="Times New Roman" w:hAnsi="Times New Roman" w:eastAsia="仿宋" w:cs="Times New Roman"/>
                <w:b/>
              </w:rPr>
              <w:t>）</w:t>
            </w:r>
          </w:p>
        </w:tc>
        <w:tc>
          <w:tcPr>
            <w:tcW w:w="1560" w:type="dxa"/>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数量（人）</w:t>
            </w:r>
          </w:p>
        </w:tc>
        <w:tc>
          <w:tcPr>
            <w:tcW w:w="1561" w:type="dxa"/>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比例（</w:t>
            </w:r>
            <w:r>
              <w:rPr>
                <w:rFonts w:ascii="Times New Roman" w:hAnsi="Times New Roman" w:cs="Times New Roman"/>
                <w:b/>
              </w:rPr>
              <w:t>%</w:t>
            </w:r>
            <w:r>
              <w:rPr>
                <w:rFonts w:ascii="Times New Roman" w:hAnsi="Times New Roman" w:eastAsia="仿宋" w:cs="Times New Roman"/>
                <w:b/>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846"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w w:val="99"/>
              </w:rPr>
              <w:t>1</w:t>
            </w:r>
          </w:p>
        </w:tc>
        <w:tc>
          <w:tcPr>
            <w:tcW w:w="1980"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rPr>
              <w:t>企事业单位就业</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679</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99.85%</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299</w:t>
            </w:r>
          </w:p>
        </w:tc>
        <w:tc>
          <w:tcPr>
            <w:tcW w:w="1561"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96.14%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46"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w w:val="99"/>
              </w:rPr>
              <w:t>2</w:t>
            </w:r>
          </w:p>
        </w:tc>
        <w:tc>
          <w:tcPr>
            <w:tcW w:w="1980"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rPr>
              <w:t>高等教育深造</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0.15%</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12</w:t>
            </w:r>
          </w:p>
        </w:tc>
        <w:tc>
          <w:tcPr>
            <w:tcW w:w="1561"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3.86%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46"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w w:val="99"/>
              </w:rPr>
              <w:t>3</w:t>
            </w:r>
          </w:p>
        </w:tc>
        <w:tc>
          <w:tcPr>
            <w:tcW w:w="1980"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rPr>
              <w:t>参军</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1561"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46"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w w:val="99"/>
              </w:rPr>
              <w:t>4</w:t>
            </w:r>
          </w:p>
        </w:tc>
        <w:tc>
          <w:tcPr>
            <w:tcW w:w="1980"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rPr>
              <w:t>创业</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1561"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46"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w w:val="99"/>
              </w:rPr>
              <w:t>5</w:t>
            </w:r>
          </w:p>
        </w:tc>
        <w:tc>
          <w:tcPr>
            <w:tcW w:w="1980" w:type="dxa"/>
            <w:vAlign w:val="center"/>
          </w:tcPr>
          <w:p>
            <w:pPr>
              <w:pStyle w:val="11"/>
              <w:adjustRightInd w:val="0"/>
              <w:snapToGrid w:val="0"/>
              <w:jc w:val="center"/>
              <w:rPr>
                <w:rFonts w:ascii="Times New Roman" w:hAnsi="Times New Roman" w:eastAsia="仿宋_GB2312" w:cs="Times New Roman"/>
              </w:rPr>
            </w:pPr>
            <w:r>
              <w:rPr>
                <w:rFonts w:ascii="Times New Roman" w:hAnsi="Times New Roman" w:eastAsia="仿宋_GB2312" w:cs="Times New Roman"/>
              </w:rPr>
              <w:t>其他</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1560"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1561" w:type="dxa"/>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2.就业专业分布</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表35 2020-2021年学校毕业生就业专业分布表</w:t>
      </w:r>
    </w:p>
    <w:tbl>
      <w:tblPr>
        <w:tblStyle w:val="12"/>
        <w:tblW w:w="103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1376"/>
        <w:gridCol w:w="1417"/>
        <w:gridCol w:w="1134"/>
        <w:gridCol w:w="1276"/>
        <w:gridCol w:w="882"/>
        <w:gridCol w:w="1125"/>
        <w:gridCol w:w="1111"/>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51" w:type="dxa"/>
            <w:vMerge w:val="restart"/>
          </w:tcPr>
          <w:p>
            <w:pPr>
              <w:pStyle w:val="11"/>
              <w:rPr>
                <w:rFonts w:ascii="Times New Roman" w:hAnsi="Times New Roman" w:cs="Times New Roman"/>
                <w:b/>
              </w:rPr>
            </w:pPr>
          </w:p>
          <w:p>
            <w:pPr>
              <w:pStyle w:val="11"/>
              <w:ind w:left="164"/>
              <w:rPr>
                <w:rFonts w:ascii="Times New Roman" w:hAnsi="Times New Roman" w:eastAsia="仿宋" w:cs="Times New Roman"/>
                <w:b/>
              </w:rPr>
            </w:pPr>
            <w:r>
              <w:rPr>
                <w:rFonts w:ascii="Times New Roman" w:hAnsi="Times New Roman" w:eastAsia="仿宋" w:cs="Times New Roman"/>
                <w:b/>
              </w:rPr>
              <w:t>序号</w:t>
            </w:r>
          </w:p>
        </w:tc>
        <w:tc>
          <w:tcPr>
            <w:tcW w:w="1376" w:type="dxa"/>
            <w:vMerge w:val="restart"/>
            <w:vAlign w:val="center"/>
          </w:tcPr>
          <w:p>
            <w:pPr>
              <w:pStyle w:val="11"/>
              <w:jc w:val="center"/>
              <w:rPr>
                <w:rFonts w:ascii="Times New Roman" w:hAnsi="Times New Roman" w:eastAsia="仿宋" w:cs="Times New Roman"/>
                <w:b/>
              </w:rPr>
            </w:pPr>
            <w:r>
              <w:rPr>
                <w:rFonts w:ascii="Times New Roman" w:hAnsi="Times New Roman" w:eastAsia="仿宋" w:cs="Times New Roman"/>
                <w:b/>
              </w:rPr>
              <w:t>年度（年）</w:t>
            </w:r>
          </w:p>
        </w:tc>
        <w:tc>
          <w:tcPr>
            <w:tcW w:w="1417" w:type="dxa"/>
            <w:vMerge w:val="restart"/>
            <w:vAlign w:val="center"/>
          </w:tcPr>
          <w:p>
            <w:pPr>
              <w:pStyle w:val="11"/>
              <w:spacing w:line="242" w:lineRule="auto"/>
              <w:jc w:val="center"/>
              <w:rPr>
                <w:rFonts w:ascii="Times New Roman" w:hAnsi="Times New Roman" w:eastAsia="仿宋" w:cs="Times New Roman"/>
                <w:b/>
              </w:rPr>
            </w:pPr>
            <w:r>
              <w:rPr>
                <w:rFonts w:ascii="Times New Roman" w:hAnsi="Times New Roman" w:eastAsia="仿宋" w:cs="Times New Roman"/>
                <w:b/>
              </w:rPr>
              <w:t>毕业生总数</w:t>
            </w:r>
          </w:p>
          <w:p>
            <w:pPr>
              <w:pStyle w:val="11"/>
              <w:spacing w:line="263" w:lineRule="exact"/>
              <w:jc w:val="center"/>
              <w:rPr>
                <w:rFonts w:ascii="Times New Roman" w:hAnsi="Times New Roman" w:eastAsia="仿宋" w:cs="Times New Roman"/>
                <w:b/>
              </w:rPr>
            </w:pPr>
            <w:r>
              <w:rPr>
                <w:rFonts w:ascii="Times New Roman" w:hAnsi="Times New Roman" w:eastAsia="仿宋" w:cs="Times New Roman"/>
                <w:b/>
              </w:rPr>
              <w:t>（人）</w:t>
            </w:r>
          </w:p>
        </w:tc>
        <w:tc>
          <w:tcPr>
            <w:tcW w:w="5528" w:type="dxa"/>
            <w:gridSpan w:val="5"/>
          </w:tcPr>
          <w:p>
            <w:pPr>
              <w:pStyle w:val="11"/>
              <w:spacing w:before="11" w:line="242" w:lineRule="auto"/>
              <w:ind w:left="214" w:right="98" w:hanging="106"/>
              <w:jc w:val="center"/>
              <w:rPr>
                <w:rFonts w:ascii="Times New Roman" w:hAnsi="Times New Roman" w:eastAsia="仿宋" w:cs="Times New Roman"/>
                <w:b/>
              </w:rPr>
            </w:pPr>
            <w:r>
              <w:rPr>
                <w:rFonts w:ascii="Times New Roman" w:hAnsi="Times New Roman" w:eastAsia="仿宋" w:cs="Times New Roman"/>
                <w:b/>
              </w:rPr>
              <w:t>就业情况</w:t>
            </w:r>
          </w:p>
        </w:tc>
        <w:tc>
          <w:tcPr>
            <w:tcW w:w="1276" w:type="dxa"/>
            <w:vMerge w:val="restart"/>
            <w:vAlign w:val="center"/>
          </w:tcPr>
          <w:p>
            <w:pPr>
              <w:pStyle w:val="11"/>
              <w:spacing w:before="11" w:line="242" w:lineRule="auto"/>
              <w:ind w:left="214" w:right="98" w:hanging="106"/>
              <w:rPr>
                <w:rFonts w:ascii="Times New Roman" w:hAnsi="Times New Roman" w:eastAsia="仿宋" w:cs="Times New Roman"/>
                <w:b/>
              </w:rPr>
            </w:pPr>
            <w:r>
              <w:rPr>
                <w:rFonts w:ascii="Times New Roman" w:hAnsi="Times New Roman" w:eastAsia="仿宋" w:cs="Times New Roman"/>
                <w:b/>
              </w:rPr>
              <w:t>平均起薪点</w:t>
            </w:r>
          </w:p>
          <w:p>
            <w:pPr>
              <w:pStyle w:val="11"/>
              <w:spacing w:before="1" w:line="263" w:lineRule="exact"/>
              <w:ind w:left="109"/>
              <w:jc w:val="center"/>
              <w:rPr>
                <w:rFonts w:ascii="Times New Roman" w:hAnsi="Times New Roman" w:eastAsia="仿宋" w:cs="Times New Roman"/>
                <w:b/>
              </w:rPr>
            </w:pPr>
            <w:r>
              <w:rPr>
                <w:rFonts w:ascii="Times New Roman" w:hAnsi="Times New Roman" w:eastAsia="仿宋" w:cs="Times New Roman"/>
                <w:b/>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751" w:type="dxa"/>
            <w:vMerge w:val="continue"/>
            <w:tcBorders>
              <w:top w:val="nil"/>
            </w:tcBorders>
          </w:tcPr>
          <w:p>
            <w:pPr>
              <w:rPr>
                <w:rFonts w:ascii="Times New Roman" w:hAnsi="Times New Roman" w:cs="Times New Roman"/>
                <w:sz w:val="2"/>
                <w:szCs w:val="2"/>
              </w:rPr>
            </w:pPr>
          </w:p>
        </w:tc>
        <w:tc>
          <w:tcPr>
            <w:tcW w:w="1376" w:type="dxa"/>
            <w:vMerge w:val="continue"/>
            <w:tcBorders>
              <w:top w:val="nil"/>
            </w:tcBorders>
          </w:tcPr>
          <w:p>
            <w:pPr>
              <w:rPr>
                <w:rFonts w:ascii="Times New Roman" w:hAnsi="Times New Roman" w:cs="Times New Roman"/>
                <w:sz w:val="2"/>
                <w:szCs w:val="2"/>
              </w:rPr>
            </w:pPr>
          </w:p>
        </w:tc>
        <w:tc>
          <w:tcPr>
            <w:tcW w:w="1417" w:type="dxa"/>
            <w:vMerge w:val="continue"/>
            <w:tcBorders>
              <w:top w:val="nil"/>
            </w:tcBorders>
          </w:tcPr>
          <w:p>
            <w:pPr>
              <w:rPr>
                <w:rFonts w:ascii="Times New Roman" w:hAnsi="Times New Roman" w:cs="Times New Roman"/>
                <w:sz w:val="2"/>
                <w:szCs w:val="2"/>
              </w:rPr>
            </w:pPr>
          </w:p>
        </w:tc>
        <w:tc>
          <w:tcPr>
            <w:tcW w:w="1134" w:type="dxa"/>
          </w:tcPr>
          <w:p>
            <w:pPr>
              <w:pStyle w:val="11"/>
              <w:ind w:left="177" w:right="165"/>
              <w:jc w:val="center"/>
              <w:rPr>
                <w:rFonts w:ascii="Times New Roman" w:hAnsi="Times New Roman" w:eastAsia="仿宋" w:cs="Times New Roman"/>
                <w:b/>
              </w:rPr>
            </w:pPr>
            <w:r>
              <w:rPr>
                <w:rFonts w:ascii="Times New Roman" w:hAnsi="Times New Roman" w:eastAsia="仿宋" w:cs="Times New Roman"/>
                <w:b/>
              </w:rPr>
              <w:t>直接</w:t>
            </w:r>
          </w:p>
          <w:p>
            <w:pPr>
              <w:pStyle w:val="11"/>
              <w:ind w:left="177" w:right="165"/>
              <w:jc w:val="center"/>
              <w:rPr>
                <w:rFonts w:ascii="Times New Roman" w:hAnsi="Times New Roman" w:eastAsia="仿宋" w:cs="Times New Roman"/>
                <w:b/>
              </w:rPr>
            </w:pPr>
            <w:r>
              <w:rPr>
                <w:rFonts w:ascii="Times New Roman" w:hAnsi="Times New Roman" w:eastAsia="仿宋" w:cs="Times New Roman"/>
                <w:b/>
              </w:rPr>
              <w:t>就业</w:t>
            </w:r>
          </w:p>
          <w:p>
            <w:pPr>
              <w:pStyle w:val="11"/>
              <w:spacing w:before="4" w:line="251" w:lineRule="exact"/>
              <w:ind w:left="177" w:right="165"/>
              <w:jc w:val="center"/>
              <w:rPr>
                <w:rFonts w:ascii="Times New Roman" w:hAnsi="Times New Roman" w:eastAsia="仿宋" w:cs="Times New Roman"/>
                <w:b/>
              </w:rPr>
            </w:pPr>
            <w:r>
              <w:rPr>
                <w:rFonts w:ascii="Times New Roman" w:hAnsi="Times New Roman" w:eastAsia="仿宋" w:cs="Times New Roman"/>
                <w:b/>
              </w:rPr>
              <w:t>（人）</w:t>
            </w:r>
          </w:p>
        </w:tc>
        <w:tc>
          <w:tcPr>
            <w:tcW w:w="1276" w:type="dxa"/>
          </w:tcPr>
          <w:p>
            <w:pPr>
              <w:pStyle w:val="11"/>
              <w:ind w:left="180" w:right="171"/>
              <w:jc w:val="center"/>
              <w:rPr>
                <w:rFonts w:ascii="Times New Roman" w:hAnsi="Times New Roman" w:eastAsia="仿宋" w:cs="Times New Roman"/>
                <w:b/>
              </w:rPr>
            </w:pPr>
            <w:r>
              <w:rPr>
                <w:rFonts w:ascii="Times New Roman" w:hAnsi="Times New Roman" w:eastAsia="仿宋" w:cs="Times New Roman"/>
                <w:b/>
              </w:rPr>
              <w:t>直接</w:t>
            </w:r>
          </w:p>
          <w:p>
            <w:pPr>
              <w:pStyle w:val="11"/>
              <w:ind w:left="180" w:right="171"/>
              <w:jc w:val="center"/>
              <w:rPr>
                <w:rFonts w:ascii="Times New Roman" w:hAnsi="Times New Roman" w:eastAsia="仿宋" w:cs="Times New Roman"/>
                <w:b/>
              </w:rPr>
            </w:pPr>
            <w:r>
              <w:rPr>
                <w:rFonts w:ascii="Times New Roman" w:hAnsi="Times New Roman" w:eastAsia="仿宋" w:cs="Times New Roman"/>
                <w:b/>
              </w:rPr>
              <w:t>就业率</w:t>
            </w:r>
          </w:p>
          <w:p>
            <w:pPr>
              <w:pStyle w:val="11"/>
              <w:spacing w:before="4" w:line="251" w:lineRule="exact"/>
              <w:ind w:left="176" w:right="171"/>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cs="Times New Roman"/>
                <w:b/>
              </w:rPr>
              <w:t>%</w:t>
            </w:r>
            <w:r>
              <w:rPr>
                <w:rFonts w:ascii="Times New Roman" w:hAnsi="Times New Roman" w:eastAsia="仿宋" w:cs="Times New Roman"/>
                <w:b/>
              </w:rPr>
              <w:t>）</w:t>
            </w:r>
          </w:p>
        </w:tc>
        <w:tc>
          <w:tcPr>
            <w:tcW w:w="882" w:type="dxa"/>
            <w:vAlign w:val="center"/>
          </w:tcPr>
          <w:p>
            <w:pPr>
              <w:pStyle w:val="11"/>
              <w:jc w:val="center"/>
              <w:rPr>
                <w:rFonts w:ascii="Times New Roman" w:hAnsi="Times New Roman" w:eastAsia="仿宋" w:cs="Times New Roman"/>
                <w:b/>
              </w:rPr>
            </w:pPr>
            <w:r>
              <w:rPr>
                <w:rFonts w:ascii="Times New Roman" w:hAnsi="Times New Roman" w:eastAsia="仿宋" w:cs="Times New Roman"/>
                <w:b/>
              </w:rPr>
              <w:t>对口就业</w:t>
            </w:r>
          </w:p>
          <w:p>
            <w:pPr>
              <w:pStyle w:val="11"/>
              <w:spacing w:line="251" w:lineRule="exact"/>
              <w:jc w:val="center"/>
              <w:rPr>
                <w:rFonts w:ascii="Times New Roman" w:hAnsi="Times New Roman" w:eastAsia="仿宋" w:cs="Times New Roman"/>
                <w:b/>
              </w:rPr>
            </w:pPr>
            <w:r>
              <w:rPr>
                <w:rFonts w:ascii="Times New Roman" w:hAnsi="Times New Roman" w:eastAsia="仿宋" w:cs="Times New Roman"/>
                <w:b/>
              </w:rPr>
              <w:t>（人）</w:t>
            </w:r>
          </w:p>
        </w:tc>
        <w:tc>
          <w:tcPr>
            <w:tcW w:w="1125" w:type="dxa"/>
            <w:vAlign w:val="center"/>
          </w:tcPr>
          <w:p>
            <w:pPr>
              <w:pStyle w:val="11"/>
              <w:jc w:val="center"/>
              <w:rPr>
                <w:rFonts w:ascii="Times New Roman" w:hAnsi="Times New Roman" w:eastAsia="仿宋_GB2312" w:cs="Times New Roman"/>
                <w:b/>
                <w:szCs w:val="21"/>
              </w:rPr>
            </w:pPr>
            <w:r>
              <w:rPr>
                <w:rFonts w:ascii="Times New Roman" w:hAnsi="Times New Roman" w:eastAsia="仿宋_GB2312" w:cs="Times New Roman"/>
                <w:b/>
                <w:w w:val="95"/>
                <w:szCs w:val="21"/>
              </w:rPr>
              <w:t>对口率</w:t>
            </w:r>
          </w:p>
          <w:p>
            <w:pPr>
              <w:pStyle w:val="11"/>
              <w:spacing w:line="251" w:lineRule="exact"/>
              <w:jc w:val="center"/>
              <w:rPr>
                <w:rFonts w:ascii="Times New Roman" w:hAnsi="Times New Roman" w:eastAsia="仿宋_GB2312" w:cs="Times New Roman"/>
                <w:b/>
                <w:szCs w:val="21"/>
              </w:rPr>
            </w:pPr>
            <w:r>
              <w:rPr>
                <w:rFonts w:ascii="Times New Roman" w:hAnsi="Times New Roman" w:eastAsia="仿宋_GB2312" w:cs="Times New Roman"/>
                <w:b/>
                <w:szCs w:val="21"/>
              </w:rPr>
              <w:t>（%）</w:t>
            </w:r>
          </w:p>
        </w:tc>
        <w:tc>
          <w:tcPr>
            <w:tcW w:w="1111" w:type="dxa"/>
          </w:tcPr>
          <w:p>
            <w:pPr>
              <w:pStyle w:val="11"/>
              <w:jc w:val="center"/>
              <w:rPr>
                <w:rFonts w:ascii="Times New Roman" w:hAnsi="Times New Roman" w:eastAsia="仿宋_GB2312" w:cs="Times New Roman"/>
                <w:b/>
                <w:w w:val="95"/>
                <w:szCs w:val="21"/>
              </w:rPr>
            </w:pPr>
            <w:r>
              <w:rPr>
                <w:rFonts w:ascii="Times New Roman" w:hAnsi="Times New Roman" w:eastAsia="仿宋_GB2312" w:cs="Times New Roman"/>
                <w:b/>
                <w:w w:val="95"/>
                <w:szCs w:val="21"/>
              </w:rPr>
              <w:t>6月内就业稳定率</w:t>
            </w:r>
          </w:p>
          <w:p>
            <w:pPr>
              <w:pStyle w:val="11"/>
              <w:jc w:val="center"/>
              <w:rPr>
                <w:rFonts w:ascii="Times New Roman" w:hAnsi="Times New Roman" w:eastAsia="仿宋_GB2312" w:cs="Times New Roman"/>
                <w:b/>
                <w:w w:val="95"/>
                <w:szCs w:val="21"/>
              </w:rPr>
            </w:pPr>
            <w:r>
              <w:rPr>
                <w:rFonts w:ascii="Times New Roman" w:hAnsi="Times New Roman" w:eastAsia="仿宋_GB2312" w:cs="Times New Roman"/>
                <w:b/>
                <w:w w:val="95"/>
                <w:szCs w:val="21"/>
              </w:rPr>
              <w:t>（%）</w:t>
            </w:r>
          </w:p>
        </w:tc>
        <w:tc>
          <w:tcPr>
            <w:tcW w:w="1276" w:type="dxa"/>
            <w:vMerge w:val="continue"/>
            <w:tcBorders>
              <w:top w:val="nil"/>
            </w:tcBorders>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51" w:type="dxa"/>
          </w:tcPr>
          <w:p>
            <w:pPr>
              <w:pStyle w:val="11"/>
              <w:spacing w:before="20"/>
              <w:ind w:left="9"/>
              <w:jc w:val="center"/>
              <w:rPr>
                <w:rFonts w:ascii="Times New Roman" w:hAnsi="Times New Roman" w:cs="Times New Roman"/>
              </w:rPr>
            </w:pPr>
            <w:r>
              <w:rPr>
                <w:rFonts w:ascii="Times New Roman" w:hAnsi="Times New Roman" w:cs="Times New Roman"/>
                <w:w w:val="99"/>
              </w:rPr>
              <w:t>1</w:t>
            </w:r>
          </w:p>
        </w:tc>
        <w:tc>
          <w:tcPr>
            <w:tcW w:w="1376" w:type="dxa"/>
          </w:tcPr>
          <w:p>
            <w:pPr>
              <w:pStyle w:val="11"/>
              <w:jc w:val="center"/>
              <w:rPr>
                <w:rFonts w:ascii="Times New Roman" w:hAnsi="Times New Roman" w:cs="Times New Roman"/>
              </w:rPr>
            </w:pPr>
            <w:r>
              <w:rPr>
                <w:rFonts w:ascii="Times New Roman" w:hAnsi="Times New Roman" w:cs="Times New Roman"/>
              </w:rPr>
              <w:t>2020</w:t>
            </w:r>
          </w:p>
        </w:tc>
        <w:tc>
          <w:tcPr>
            <w:tcW w:w="1417" w:type="dxa"/>
          </w:tcPr>
          <w:p>
            <w:pPr>
              <w:spacing w:before="20"/>
              <w:ind w:left="192" w:right="185"/>
              <w:jc w:val="center"/>
              <w:rPr>
                <w:rFonts w:ascii="Times New Roman" w:hAnsi="Times New Roman" w:cs="Times New Roman"/>
              </w:rPr>
            </w:pPr>
            <w:r>
              <w:rPr>
                <w:rFonts w:hint="eastAsia" w:ascii="Times New Roman" w:hAnsi="Times New Roman" w:cs="Times New Roman"/>
              </w:rPr>
              <w:t>680</w:t>
            </w:r>
          </w:p>
        </w:tc>
        <w:tc>
          <w:tcPr>
            <w:tcW w:w="1134" w:type="dxa"/>
          </w:tcPr>
          <w:p>
            <w:pPr>
              <w:spacing w:before="20"/>
              <w:ind w:left="173" w:right="165"/>
              <w:rPr>
                <w:rFonts w:ascii="Times New Roman" w:hAnsi="Times New Roman" w:cs="Times New Roman"/>
              </w:rPr>
            </w:pPr>
            <w:r>
              <w:rPr>
                <w:rFonts w:hint="eastAsia" w:ascii="Times New Roman" w:hAnsi="Times New Roman" w:cs="Times New Roman"/>
              </w:rPr>
              <w:t>679</w:t>
            </w:r>
          </w:p>
        </w:tc>
        <w:tc>
          <w:tcPr>
            <w:tcW w:w="1276" w:type="dxa"/>
          </w:tcPr>
          <w:p>
            <w:pPr>
              <w:spacing w:before="20"/>
              <w:ind w:left="180" w:right="169"/>
              <w:rPr>
                <w:rFonts w:ascii="Times New Roman" w:hAnsi="Times New Roman" w:cs="Times New Roman"/>
              </w:rPr>
            </w:pPr>
            <w:r>
              <w:rPr>
                <w:rFonts w:hint="eastAsia" w:ascii="Times New Roman" w:hAnsi="Times New Roman" w:cs="Times New Roman"/>
              </w:rPr>
              <w:t>99.85%</w:t>
            </w:r>
          </w:p>
        </w:tc>
        <w:tc>
          <w:tcPr>
            <w:tcW w:w="882" w:type="dxa"/>
          </w:tcPr>
          <w:p>
            <w:pPr>
              <w:spacing w:before="20"/>
              <w:ind w:left="19" w:right="10"/>
              <w:rPr>
                <w:rFonts w:ascii="Times New Roman" w:hAnsi="Times New Roman" w:cs="Times New Roman"/>
              </w:rPr>
            </w:pPr>
            <w:r>
              <w:rPr>
                <w:rFonts w:hint="eastAsia" w:ascii="Times New Roman" w:hAnsi="Times New Roman" w:cs="Times New Roman"/>
              </w:rPr>
              <w:t>658</w:t>
            </w:r>
          </w:p>
        </w:tc>
        <w:tc>
          <w:tcPr>
            <w:tcW w:w="1125" w:type="dxa"/>
          </w:tcPr>
          <w:p>
            <w:pPr>
              <w:spacing w:before="20"/>
              <w:ind w:left="231" w:right="219"/>
              <w:rPr>
                <w:rFonts w:ascii="Times New Roman" w:hAnsi="Times New Roman" w:cs="Times New Roman"/>
              </w:rPr>
            </w:pPr>
            <w:r>
              <w:rPr>
                <w:rFonts w:hint="eastAsia" w:ascii="Times New Roman" w:hAnsi="Times New Roman" w:cs="Times New Roman"/>
              </w:rPr>
              <w:t>96.90%</w:t>
            </w:r>
          </w:p>
        </w:tc>
        <w:tc>
          <w:tcPr>
            <w:tcW w:w="1111" w:type="dxa"/>
          </w:tcPr>
          <w:p>
            <w:pPr>
              <w:spacing w:before="20"/>
              <w:ind w:right="183"/>
              <w:jc w:val="center"/>
              <w:rPr>
                <w:rFonts w:ascii="Times New Roman" w:hAnsi="Times New Roman" w:cs="Times New Roman"/>
              </w:rPr>
            </w:pPr>
            <w:r>
              <w:rPr>
                <w:rFonts w:hint="eastAsia" w:ascii="Times New Roman" w:hAnsi="Times New Roman" w:cs="Times New Roman"/>
              </w:rPr>
              <w:t>88.68%</w:t>
            </w:r>
          </w:p>
        </w:tc>
        <w:tc>
          <w:tcPr>
            <w:tcW w:w="1276" w:type="dxa"/>
          </w:tcPr>
          <w:p>
            <w:pPr>
              <w:spacing w:before="20"/>
              <w:ind w:left="193" w:right="183"/>
              <w:jc w:val="center"/>
              <w:rPr>
                <w:rFonts w:ascii="Times New Roman" w:hAnsi="Times New Roman" w:cs="Times New Roman"/>
              </w:rPr>
            </w:pPr>
            <w:r>
              <w:rPr>
                <w:rFonts w:hint="eastAsia" w:ascii="Times New Roman" w:hAnsi="Times New Roman" w:cs="Times New Roman"/>
              </w:rPr>
              <w:t>2600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751" w:type="dxa"/>
          </w:tcPr>
          <w:p>
            <w:pPr>
              <w:pStyle w:val="11"/>
              <w:spacing w:before="19"/>
              <w:ind w:left="9"/>
              <w:jc w:val="center"/>
              <w:rPr>
                <w:rFonts w:ascii="Times New Roman" w:hAnsi="Times New Roman" w:cs="Times New Roman"/>
              </w:rPr>
            </w:pPr>
            <w:r>
              <w:rPr>
                <w:rFonts w:ascii="Times New Roman" w:hAnsi="Times New Roman" w:cs="Times New Roman"/>
                <w:w w:val="99"/>
              </w:rPr>
              <w:t>2</w:t>
            </w:r>
          </w:p>
        </w:tc>
        <w:tc>
          <w:tcPr>
            <w:tcW w:w="1376" w:type="dxa"/>
          </w:tcPr>
          <w:p>
            <w:pPr>
              <w:pStyle w:val="11"/>
              <w:jc w:val="center"/>
              <w:rPr>
                <w:rFonts w:ascii="Times New Roman" w:hAnsi="Times New Roman" w:cs="Times New Roman"/>
              </w:rPr>
            </w:pPr>
            <w:r>
              <w:rPr>
                <w:rFonts w:ascii="Times New Roman" w:hAnsi="Times New Roman" w:cs="Times New Roman"/>
              </w:rPr>
              <w:t>2021</w:t>
            </w:r>
          </w:p>
        </w:tc>
        <w:tc>
          <w:tcPr>
            <w:tcW w:w="1417" w:type="dxa"/>
          </w:tcPr>
          <w:p>
            <w:pPr>
              <w:spacing w:before="19"/>
              <w:ind w:left="192" w:right="185"/>
              <w:jc w:val="center"/>
              <w:rPr>
                <w:rFonts w:ascii="Times New Roman" w:hAnsi="Times New Roman" w:cs="Times New Roman"/>
              </w:rPr>
            </w:pPr>
            <w:r>
              <w:rPr>
                <w:rFonts w:hint="eastAsia" w:ascii="Times New Roman" w:hAnsi="Times New Roman" w:cs="Times New Roman"/>
              </w:rPr>
              <w:t>311</w:t>
            </w:r>
          </w:p>
        </w:tc>
        <w:tc>
          <w:tcPr>
            <w:tcW w:w="1134" w:type="dxa"/>
          </w:tcPr>
          <w:p>
            <w:pPr>
              <w:spacing w:before="19"/>
              <w:ind w:left="173" w:right="165"/>
              <w:rPr>
                <w:rFonts w:ascii="Times New Roman" w:hAnsi="Times New Roman" w:cs="Times New Roman"/>
              </w:rPr>
            </w:pPr>
            <w:r>
              <w:rPr>
                <w:rFonts w:hint="eastAsia" w:ascii="Times New Roman" w:hAnsi="Times New Roman" w:cs="Times New Roman"/>
              </w:rPr>
              <w:t>299</w:t>
            </w:r>
          </w:p>
        </w:tc>
        <w:tc>
          <w:tcPr>
            <w:tcW w:w="1276" w:type="dxa"/>
          </w:tcPr>
          <w:p>
            <w:pPr>
              <w:spacing w:before="19"/>
              <w:ind w:left="180" w:right="169"/>
              <w:rPr>
                <w:rFonts w:ascii="Times New Roman" w:hAnsi="Times New Roman" w:cs="Times New Roman"/>
              </w:rPr>
            </w:pPr>
            <w:r>
              <w:rPr>
                <w:rFonts w:hint="eastAsia" w:ascii="Times New Roman" w:hAnsi="Times New Roman" w:cs="Times New Roman"/>
              </w:rPr>
              <w:t>96.14%</w:t>
            </w:r>
          </w:p>
        </w:tc>
        <w:tc>
          <w:tcPr>
            <w:tcW w:w="882" w:type="dxa"/>
          </w:tcPr>
          <w:p>
            <w:pPr>
              <w:spacing w:before="19"/>
              <w:ind w:left="19" w:right="10"/>
              <w:rPr>
                <w:rFonts w:ascii="Times New Roman" w:hAnsi="Times New Roman" w:cs="Times New Roman"/>
              </w:rPr>
            </w:pPr>
            <w:r>
              <w:rPr>
                <w:rFonts w:hint="eastAsia" w:ascii="Times New Roman" w:hAnsi="Times New Roman" w:cs="Times New Roman"/>
              </w:rPr>
              <w:t>290</w:t>
            </w:r>
          </w:p>
        </w:tc>
        <w:tc>
          <w:tcPr>
            <w:tcW w:w="1125" w:type="dxa"/>
          </w:tcPr>
          <w:p>
            <w:pPr>
              <w:spacing w:before="19"/>
              <w:ind w:left="231" w:right="219"/>
              <w:rPr>
                <w:rFonts w:ascii="Times New Roman" w:hAnsi="Times New Roman" w:cs="Times New Roman"/>
              </w:rPr>
            </w:pPr>
            <w:r>
              <w:rPr>
                <w:rFonts w:hint="eastAsia" w:ascii="Times New Roman" w:hAnsi="Times New Roman" w:cs="Times New Roman"/>
              </w:rPr>
              <w:t>96.99%</w:t>
            </w:r>
          </w:p>
        </w:tc>
        <w:tc>
          <w:tcPr>
            <w:tcW w:w="1111" w:type="dxa"/>
          </w:tcPr>
          <w:p>
            <w:pPr>
              <w:spacing w:before="19"/>
              <w:ind w:left="193" w:right="183"/>
              <w:rPr>
                <w:rFonts w:ascii="Times New Roman" w:hAnsi="Times New Roman" w:cs="Times New Roman"/>
              </w:rPr>
            </w:pPr>
            <w:r>
              <w:rPr>
                <w:rFonts w:hint="eastAsia" w:ascii="Times New Roman" w:hAnsi="Times New Roman" w:cs="Times New Roman"/>
              </w:rPr>
              <w:t>89.76%</w:t>
            </w:r>
          </w:p>
        </w:tc>
        <w:tc>
          <w:tcPr>
            <w:tcW w:w="1276" w:type="dxa"/>
          </w:tcPr>
          <w:p>
            <w:pPr>
              <w:spacing w:before="19"/>
              <w:ind w:left="193" w:right="183"/>
              <w:jc w:val="center"/>
              <w:rPr>
                <w:rFonts w:ascii="Times New Roman" w:hAnsi="Times New Roman" w:cs="Times New Roman"/>
              </w:rPr>
            </w:pPr>
            <w:r>
              <w:rPr>
                <w:rFonts w:hint="eastAsia" w:ascii="Times New Roman" w:hAnsi="Times New Roman" w:cs="Times New Roman"/>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2127" w:type="dxa"/>
            <w:gridSpan w:val="2"/>
            <w:vMerge w:val="restart"/>
          </w:tcPr>
          <w:p>
            <w:pPr>
              <w:pStyle w:val="11"/>
              <w:rPr>
                <w:rFonts w:ascii="Times New Roman" w:hAnsi="Times New Roman" w:cs="Times New Roman"/>
                <w:b/>
              </w:rPr>
            </w:pPr>
          </w:p>
          <w:p>
            <w:pPr>
              <w:pStyle w:val="11"/>
              <w:jc w:val="center"/>
              <w:rPr>
                <w:rFonts w:ascii="Times New Roman" w:hAnsi="Times New Roman" w:eastAsia="仿宋" w:cs="Times New Roman"/>
                <w:b/>
              </w:rPr>
            </w:pPr>
            <w:r>
              <w:rPr>
                <w:rFonts w:ascii="Times New Roman" w:hAnsi="Times New Roman" w:eastAsia="仿宋" w:cs="Times New Roman"/>
                <w:b/>
              </w:rPr>
              <w:t>专业名称</w:t>
            </w:r>
          </w:p>
        </w:tc>
        <w:tc>
          <w:tcPr>
            <w:tcW w:w="1417" w:type="dxa"/>
            <w:vMerge w:val="restart"/>
            <w:vAlign w:val="center"/>
          </w:tcPr>
          <w:p>
            <w:pPr>
              <w:pStyle w:val="11"/>
              <w:spacing w:line="244" w:lineRule="auto"/>
              <w:jc w:val="center"/>
              <w:rPr>
                <w:rFonts w:ascii="Times New Roman" w:hAnsi="Times New Roman" w:eastAsia="仿宋" w:cs="Times New Roman"/>
                <w:b/>
              </w:rPr>
            </w:pPr>
            <w:r>
              <w:rPr>
                <w:rFonts w:ascii="Times New Roman" w:hAnsi="Times New Roman" w:eastAsia="仿宋" w:cs="Times New Roman"/>
                <w:b/>
              </w:rPr>
              <w:t>毕业生总数</w:t>
            </w:r>
          </w:p>
          <w:p>
            <w:pPr>
              <w:pStyle w:val="11"/>
              <w:spacing w:line="260" w:lineRule="exact"/>
              <w:jc w:val="center"/>
              <w:rPr>
                <w:rFonts w:ascii="Times New Roman" w:hAnsi="Times New Roman" w:eastAsia="仿宋" w:cs="Times New Roman"/>
                <w:b/>
              </w:rPr>
            </w:pPr>
            <w:r>
              <w:rPr>
                <w:rFonts w:ascii="Times New Roman" w:hAnsi="Times New Roman" w:eastAsia="仿宋" w:cs="Times New Roman"/>
                <w:b/>
              </w:rPr>
              <w:t>（人）</w:t>
            </w:r>
          </w:p>
        </w:tc>
        <w:tc>
          <w:tcPr>
            <w:tcW w:w="5528" w:type="dxa"/>
            <w:gridSpan w:val="5"/>
          </w:tcPr>
          <w:p>
            <w:pPr>
              <w:pStyle w:val="11"/>
              <w:spacing w:before="9" w:line="244" w:lineRule="auto"/>
              <w:ind w:left="214" w:right="98" w:hanging="106"/>
              <w:jc w:val="center"/>
              <w:rPr>
                <w:rFonts w:ascii="Times New Roman" w:hAnsi="Times New Roman" w:eastAsia="仿宋" w:cs="Times New Roman"/>
                <w:b/>
              </w:rPr>
            </w:pPr>
            <w:r>
              <w:rPr>
                <w:rFonts w:ascii="Times New Roman" w:hAnsi="Times New Roman" w:eastAsia="仿宋" w:cs="Times New Roman"/>
                <w:b/>
              </w:rPr>
              <w:t>就业情况</w:t>
            </w:r>
          </w:p>
        </w:tc>
        <w:tc>
          <w:tcPr>
            <w:tcW w:w="1276" w:type="dxa"/>
            <w:vMerge w:val="restart"/>
            <w:vAlign w:val="center"/>
          </w:tcPr>
          <w:p>
            <w:pPr>
              <w:pStyle w:val="11"/>
              <w:spacing w:before="9" w:line="244" w:lineRule="auto"/>
              <w:ind w:left="214" w:right="98" w:hanging="106"/>
              <w:rPr>
                <w:rFonts w:ascii="Times New Roman" w:hAnsi="Times New Roman" w:eastAsia="仿宋" w:cs="Times New Roman"/>
                <w:b/>
              </w:rPr>
            </w:pPr>
            <w:r>
              <w:rPr>
                <w:rFonts w:ascii="Times New Roman" w:hAnsi="Times New Roman" w:eastAsia="仿宋" w:cs="Times New Roman"/>
                <w:b/>
              </w:rPr>
              <w:t>平均起薪点</w:t>
            </w:r>
          </w:p>
          <w:p>
            <w:pPr>
              <w:pStyle w:val="11"/>
              <w:spacing w:line="260" w:lineRule="exact"/>
              <w:ind w:left="109"/>
              <w:jc w:val="center"/>
              <w:rPr>
                <w:rFonts w:ascii="Times New Roman" w:hAnsi="Times New Roman" w:eastAsia="仿宋" w:cs="Times New Roman"/>
                <w:b/>
              </w:rPr>
            </w:pPr>
            <w:r>
              <w:rPr>
                <w:rFonts w:ascii="Times New Roman" w:hAnsi="Times New Roman" w:eastAsia="仿宋" w:cs="Times New Roman"/>
                <w:b/>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2127" w:type="dxa"/>
            <w:gridSpan w:val="2"/>
            <w:vMerge w:val="continue"/>
            <w:tcBorders>
              <w:top w:val="nil"/>
            </w:tcBorders>
          </w:tcPr>
          <w:p>
            <w:pPr>
              <w:rPr>
                <w:rFonts w:ascii="Times New Roman" w:hAnsi="Times New Roman" w:cs="Times New Roman"/>
                <w:sz w:val="2"/>
                <w:szCs w:val="2"/>
              </w:rPr>
            </w:pPr>
          </w:p>
        </w:tc>
        <w:tc>
          <w:tcPr>
            <w:tcW w:w="1417" w:type="dxa"/>
            <w:vMerge w:val="continue"/>
            <w:tcBorders>
              <w:top w:val="nil"/>
            </w:tcBorders>
          </w:tcPr>
          <w:p>
            <w:pPr>
              <w:rPr>
                <w:rFonts w:ascii="Times New Roman" w:hAnsi="Times New Roman" w:cs="Times New Roman"/>
                <w:sz w:val="2"/>
                <w:szCs w:val="2"/>
              </w:rPr>
            </w:pPr>
          </w:p>
        </w:tc>
        <w:tc>
          <w:tcPr>
            <w:tcW w:w="1134" w:type="dxa"/>
          </w:tcPr>
          <w:p>
            <w:pPr>
              <w:pStyle w:val="11"/>
              <w:ind w:left="177" w:right="165"/>
              <w:jc w:val="center"/>
              <w:rPr>
                <w:rFonts w:ascii="Times New Roman" w:hAnsi="Times New Roman" w:eastAsia="仿宋" w:cs="Times New Roman"/>
                <w:b/>
              </w:rPr>
            </w:pPr>
            <w:r>
              <w:rPr>
                <w:rFonts w:ascii="Times New Roman" w:hAnsi="Times New Roman" w:eastAsia="仿宋" w:cs="Times New Roman"/>
                <w:b/>
              </w:rPr>
              <w:t>直接就业</w:t>
            </w:r>
          </w:p>
          <w:p>
            <w:pPr>
              <w:pStyle w:val="11"/>
              <w:spacing w:before="2" w:line="252" w:lineRule="exact"/>
              <w:ind w:left="177" w:right="165"/>
              <w:jc w:val="center"/>
              <w:rPr>
                <w:rFonts w:ascii="Times New Roman" w:hAnsi="Times New Roman" w:eastAsia="仿宋" w:cs="Times New Roman"/>
                <w:b/>
              </w:rPr>
            </w:pPr>
            <w:r>
              <w:rPr>
                <w:rFonts w:ascii="Times New Roman" w:hAnsi="Times New Roman" w:eastAsia="仿宋" w:cs="Times New Roman"/>
                <w:b/>
              </w:rPr>
              <w:t>（人）</w:t>
            </w:r>
          </w:p>
        </w:tc>
        <w:tc>
          <w:tcPr>
            <w:tcW w:w="1276" w:type="dxa"/>
          </w:tcPr>
          <w:p>
            <w:pPr>
              <w:pStyle w:val="11"/>
              <w:ind w:left="180" w:right="171"/>
              <w:jc w:val="center"/>
              <w:rPr>
                <w:rFonts w:ascii="Times New Roman" w:hAnsi="Times New Roman" w:eastAsia="仿宋" w:cs="Times New Roman"/>
                <w:b/>
              </w:rPr>
            </w:pPr>
            <w:r>
              <w:rPr>
                <w:rFonts w:ascii="Times New Roman" w:hAnsi="Times New Roman" w:eastAsia="仿宋" w:cs="Times New Roman"/>
                <w:b/>
              </w:rPr>
              <w:t>直接就业率</w:t>
            </w:r>
          </w:p>
          <w:p>
            <w:pPr>
              <w:pStyle w:val="11"/>
              <w:spacing w:before="2" w:line="252" w:lineRule="exact"/>
              <w:ind w:left="176" w:right="171"/>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cs="Times New Roman"/>
                <w:b/>
              </w:rPr>
              <w:t>%</w:t>
            </w:r>
            <w:r>
              <w:rPr>
                <w:rFonts w:ascii="Times New Roman" w:hAnsi="Times New Roman" w:eastAsia="仿宋" w:cs="Times New Roman"/>
                <w:b/>
              </w:rPr>
              <w:t>）</w:t>
            </w:r>
          </w:p>
        </w:tc>
        <w:tc>
          <w:tcPr>
            <w:tcW w:w="882" w:type="dxa"/>
            <w:vAlign w:val="center"/>
          </w:tcPr>
          <w:p>
            <w:pPr>
              <w:pStyle w:val="11"/>
              <w:jc w:val="center"/>
              <w:rPr>
                <w:rFonts w:ascii="Times New Roman" w:hAnsi="Times New Roman" w:eastAsia="仿宋" w:cs="Times New Roman"/>
                <w:b/>
              </w:rPr>
            </w:pPr>
            <w:r>
              <w:rPr>
                <w:rFonts w:ascii="Times New Roman" w:hAnsi="Times New Roman" w:eastAsia="仿宋" w:cs="Times New Roman"/>
                <w:b/>
              </w:rPr>
              <w:t>对口就业</w:t>
            </w:r>
          </w:p>
          <w:p>
            <w:pPr>
              <w:pStyle w:val="11"/>
              <w:spacing w:line="252" w:lineRule="exact"/>
              <w:jc w:val="center"/>
              <w:rPr>
                <w:rFonts w:ascii="Times New Roman" w:hAnsi="Times New Roman" w:eastAsia="仿宋" w:cs="Times New Roman"/>
                <w:b/>
              </w:rPr>
            </w:pPr>
            <w:r>
              <w:rPr>
                <w:rFonts w:ascii="Times New Roman" w:hAnsi="Times New Roman" w:eastAsia="仿宋" w:cs="Times New Roman"/>
                <w:b/>
              </w:rPr>
              <w:t>（人）</w:t>
            </w:r>
          </w:p>
        </w:tc>
        <w:tc>
          <w:tcPr>
            <w:tcW w:w="1125" w:type="dxa"/>
            <w:vAlign w:val="center"/>
          </w:tcPr>
          <w:p>
            <w:pPr>
              <w:pStyle w:val="11"/>
              <w:ind w:left="5"/>
              <w:jc w:val="center"/>
              <w:rPr>
                <w:rFonts w:ascii="Times New Roman" w:hAnsi="Times New Roman" w:eastAsia="仿宋" w:cs="Times New Roman"/>
                <w:b/>
              </w:rPr>
            </w:pPr>
            <w:r>
              <w:rPr>
                <w:rFonts w:ascii="Times New Roman" w:hAnsi="Times New Roman" w:eastAsia="仿宋" w:cs="Times New Roman"/>
                <w:b/>
                <w:w w:val="95"/>
              </w:rPr>
              <w:t>对口率</w:t>
            </w:r>
          </w:p>
          <w:p>
            <w:pPr>
              <w:pStyle w:val="11"/>
              <w:spacing w:before="2" w:line="252" w:lineRule="exact"/>
              <w:ind w:left="5"/>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cs="Times New Roman"/>
                <w:b/>
              </w:rPr>
              <w:t>%</w:t>
            </w:r>
            <w:r>
              <w:rPr>
                <w:rFonts w:ascii="Times New Roman" w:hAnsi="Times New Roman" w:eastAsia="仿宋" w:cs="Times New Roman"/>
                <w:b/>
              </w:rPr>
              <w:t>）</w:t>
            </w:r>
          </w:p>
        </w:tc>
        <w:tc>
          <w:tcPr>
            <w:tcW w:w="1111" w:type="dxa"/>
          </w:tcPr>
          <w:p>
            <w:pPr>
              <w:pStyle w:val="11"/>
              <w:jc w:val="center"/>
              <w:rPr>
                <w:rFonts w:ascii="Times New Roman" w:hAnsi="Times New Roman" w:eastAsia="仿宋_GB2312" w:cs="Times New Roman"/>
                <w:b/>
                <w:w w:val="95"/>
                <w:szCs w:val="21"/>
              </w:rPr>
            </w:pPr>
            <w:r>
              <w:rPr>
                <w:rFonts w:ascii="Times New Roman" w:hAnsi="Times New Roman" w:eastAsia="仿宋_GB2312" w:cs="Times New Roman"/>
                <w:b/>
                <w:w w:val="95"/>
                <w:szCs w:val="21"/>
              </w:rPr>
              <w:t>6月内就业稳定率</w:t>
            </w:r>
          </w:p>
          <w:p>
            <w:pPr>
              <w:jc w:val="center"/>
              <w:rPr>
                <w:rFonts w:ascii="Times New Roman" w:hAnsi="Times New Roman" w:eastAsia="仿宋_GB2312" w:cs="Times New Roman"/>
                <w:szCs w:val="21"/>
              </w:rPr>
            </w:pPr>
            <w:r>
              <w:rPr>
                <w:rFonts w:ascii="Times New Roman" w:hAnsi="Times New Roman" w:eastAsia="仿宋_GB2312" w:cs="Times New Roman"/>
                <w:b/>
                <w:w w:val="95"/>
                <w:szCs w:val="21"/>
              </w:rPr>
              <w:t>（%）</w:t>
            </w:r>
          </w:p>
        </w:tc>
        <w:tc>
          <w:tcPr>
            <w:tcW w:w="1276" w:type="dxa"/>
            <w:vMerge w:val="continue"/>
            <w:tcBorders>
              <w:top w:val="nil"/>
            </w:tcBorders>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2127" w:type="dxa"/>
            <w:gridSpan w:val="2"/>
          </w:tcPr>
          <w:p>
            <w:pPr>
              <w:spacing w:before="6" w:line="258" w:lineRule="exact"/>
              <w:ind w:left="106"/>
              <w:jc w:val="center"/>
              <w:rPr>
                <w:rFonts w:ascii="Times New Roman" w:hAnsi="Times New Roman" w:eastAsia="仿宋_GB2312" w:cs="Times New Roman"/>
              </w:rPr>
            </w:pPr>
          </w:p>
          <w:p>
            <w:pPr>
              <w:jc w:val="center"/>
              <w:rPr>
                <w:rFonts w:ascii="Times New Roman" w:hAnsi="Times New Roman" w:eastAsia="仿宋_GB2312" w:cs="Times New Roman"/>
              </w:rPr>
            </w:pPr>
            <w:r>
              <w:rPr>
                <w:rFonts w:hint="eastAsia" w:ascii="Times New Roman" w:hAnsi="Times New Roman" w:eastAsia="仿宋_GB2312" w:cs="Times New Roman"/>
              </w:rPr>
              <w:t>电气自动化设备安装与维修</w:t>
            </w:r>
          </w:p>
        </w:tc>
        <w:tc>
          <w:tcPr>
            <w:tcW w:w="1417" w:type="dxa"/>
          </w:tcPr>
          <w:p>
            <w:pPr>
              <w:spacing w:before="22"/>
              <w:ind w:left="192" w:right="185"/>
              <w:jc w:val="center"/>
              <w:rPr>
                <w:rFonts w:ascii="Times New Roman" w:hAnsi="Times New Roman" w:eastAsia="仿宋_GB2312" w:cs="Times New Roman"/>
              </w:rPr>
            </w:pPr>
          </w:p>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25</w:t>
            </w:r>
          </w:p>
        </w:tc>
        <w:tc>
          <w:tcPr>
            <w:tcW w:w="1134" w:type="dxa"/>
          </w:tcPr>
          <w:p>
            <w:pPr>
              <w:spacing w:before="22"/>
              <w:ind w:right="165"/>
              <w:jc w:val="center"/>
              <w:rPr>
                <w:rFonts w:ascii="Times New Roman" w:hAnsi="Times New Roman" w:eastAsia="仿宋_GB2312" w:cs="Times New Roman"/>
              </w:rPr>
            </w:pPr>
          </w:p>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25</w:t>
            </w:r>
          </w:p>
        </w:tc>
        <w:tc>
          <w:tcPr>
            <w:tcW w:w="1276" w:type="dxa"/>
          </w:tcPr>
          <w:p>
            <w:pPr>
              <w:spacing w:before="22"/>
              <w:ind w:left="180" w:right="169"/>
              <w:jc w:val="center"/>
              <w:rPr>
                <w:rFonts w:ascii="Times New Roman" w:hAnsi="Times New Roman" w:eastAsia="仿宋_GB2312" w:cs="Times New Roman"/>
              </w:rPr>
            </w:pPr>
          </w:p>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right="165"/>
              <w:jc w:val="center"/>
              <w:rPr>
                <w:rFonts w:ascii="Times New Roman" w:hAnsi="Times New Roman" w:eastAsia="仿宋_GB2312" w:cs="Times New Roman"/>
              </w:rPr>
            </w:pPr>
          </w:p>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25</w:t>
            </w:r>
          </w:p>
        </w:tc>
        <w:tc>
          <w:tcPr>
            <w:tcW w:w="1125" w:type="dxa"/>
          </w:tcPr>
          <w:p>
            <w:pPr>
              <w:spacing w:before="22"/>
              <w:ind w:left="180" w:right="169"/>
              <w:jc w:val="center"/>
              <w:rPr>
                <w:rFonts w:ascii="Times New Roman" w:hAnsi="Times New Roman" w:eastAsia="仿宋_GB2312" w:cs="Times New Roman"/>
              </w:rPr>
            </w:pPr>
          </w:p>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1111" w:type="dxa"/>
          </w:tcPr>
          <w:p>
            <w:pPr>
              <w:spacing w:before="22"/>
              <w:ind w:left="193" w:right="183"/>
              <w:jc w:val="center"/>
              <w:rPr>
                <w:rFonts w:ascii="Times New Roman" w:hAnsi="Times New Roman" w:eastAsia="仿宋_GB2312" w:cs="Times New Roman"/>
              </w:rPr>
            </w:pPr>
          </w:p>
          <w:p>
            <w:pPr>
              <w:spacing w:before="22"/>
              <w:ind w:left="193" w:right="183"/>
              <w:jc w:val="center"/>
              <w:rPr>
                <w:rFonts w:ascii="Times New Roman" w:hAnsi="Times New Roman" w:eastAsia="仿宋_GB2312" w:cs="Times New Roman"/>
              </w:rPr>
            </w:pPr>
            <w:r>
              <w:rPr>
                <w:rFonts w:ascii="Times New Roman" w:hAnsi="Times New Roman" w:eastAsia="仿宋_GB2312" w:cs="Times New Roman"/>
              </w:rPr>
              <w:t>92.00</w:t>
            </w:r>
            <w:r>
              <w:rPr>
                <w:rFonts w:hint="eastAsia" w:ascii="Times New Roman" w:hAnsi="Times New Roman" w:eastAsia="仿宋_GB2312" w:cs="Times New Roman"/>
              </w:rPr>
              <w:t>%</w:t>
            </w:r>
          </w:p>
        </w:tc>
        <w:tc>
          <w:tcPr>
            <w:tcW w:w="1276" w:type="dxa"/>
          </w:tcPr>
          <w:p>
            <w:pPr>
              <w:spacing w:before="22"/>
              <w:ind w:right="183"/>
              <w:jc w:val="center"/>
              <w:rPr>
                <w:rFonts w:ascii="Times New Roman" w:hAnsi="Times New Roman" w:eastAsia="仿宋_GB2312" w:cs="Times New Roman"/>
              </w:rPr>
            </w:pPr>
          </w:p>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电子技术应用</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13</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13</w:t>
            </w:r>
          </w:p>
        </w:tc>
        <w:tc>
          <w:tcPr>
            <w:tcW w:w="1276" w:type="dxa"/>
          </w:tcPr>
          <w:p>
            <w:pPr>
              <w:spacing w:before="22"/>
              <w:ind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13</w:t>
            </w:r>
          </w:p>
        </w:tc>
        <w:tc>
          <w:tcPr>
            <w:tcW w:w="1125" w:type="dxa"/>
          </w:tcPr>
          <w:p>
            <w:pPr>
              <w:spacing w:before="22"/>
              <w:ind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84.61%</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楼宇自动控制设备安装与维护</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30</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30</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30</w:t>
            </w:r>
          </w:p>
        </w:tc>
        <w:tc>
          <w:tcPr>
            <w:tcW w:w="1125"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93.33%</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电子商务</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62</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59</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95.16%</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58</w:t>
            </w:r>
          </w:p>
        </w:tc>
        <w:tc>
          <w:tcPr>
            <w:tcW w:w="1125" w:type="dxa"/>
          </w:tcPr>
          <w:p>
            <w:pPr>
              <w:spacing w:before="22"/>
              <w:ind w:right="221"/>
              <w:jc w:val="center"/>
              <w:rPr>
                <w:rFonts w:ascii="Times New Roman" w:hAnsi="Times New Roman" w:eastAsia="仿宋_GB2312" w:cs="Times New Roman"/>
              </w:rPr>
            </w:pPr>
            <w:r>
              <w:rPr>
                <w:rFonts w:hint="eastAsia" w:ascii="Times New Roman" w:hAnsi="Times New Roman" w:eastAsia="仿宋_GB2312" w:cs="Times New Roman"/>
              </w:rPr>
              <w:t>98.30%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93.31%</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2200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会计</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20</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20</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20</w:t>
            </w:r>
          </w:p>
        </w:tc>
        <w:tc>
          <w:tcPr>
            <w:tcW w:w="1125" w:type="dxa"/>
          </w:tcPr>
          <w:p>
            <w:pPr>
              <w:spacing w:before="22"/>
              <w:ind w:left="231" w:right="221"/>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85.00%</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饭店（酒店）服务</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24</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24</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24</w:t>
            </w:r>
          </w:p>
        </w:tc>
        <w:tc>
          <w:tcPr>
            <w:tcW w:w="1125" w:type="dxa"/>
          </w:tcPr>
          <w:p>
            <w:pPr>
              <w:spacing w:before="22"/>
              <w:ind w:left="231" w:right="221"/>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83.33%</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vAlign w:val="center"/>
          </w:tcPr>
          <w:p>
            <w:pPr>
              <w:widowControl/>
              <w:jc w:val="center"/>
              <w:textAlignment w:val="center"/>
              <w:rPr>
                <w:rFonts w:ascii="Times New Roman" w:hAnsi="Times New Roman" w:eastAsia="仿宋_GB2312" w:cs="Times New Roman"/>
              </w:rPr>
            </w:pPr>
            <w:r>
              <w:rPr>
                <w:rFonts w:hint="eastAsia" w:ascii="Times New Roman" w:hAnsi="Times New Roman" w:eastAsia="仿宋_GB2312" w:cs="Times New Roman"/>
              </w:rPr>
              <w:t>烹饪</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70</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69</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98.57</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69</w:t>
            </w:r>
          </w:p>
        </w:tc>
        <w:tc>
          <w:tcPr>
            <w:tcW w:w="1125" w:type="dxa"/>
          </w:tcPr>
          <w:p>
            <w:pPr>
              <w:spacing w:before="22"/>
              <w:ind w:right="221"/>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94.20%</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vAlign w:val="center"/>
          </w:tcPr>
          <w:p>
            <w:pPr>
              <w:widowControl/>
              <w:jc w:val="center"/>
              <w:textAlignment w:val="center"/>
              <w:rPr>
                <w:rFonts w:ascii="Times New Roman" w:hAnsi="Times New Roman" w:eastAsia="仿宋_GB2312" w:cs="Times New Roman"/>
              </w:rPr>
            </w:pPr>
            <w:r>
              <w:rPr>
                <w:rFonts w:hint="eastAsia" w:ascii="Times New Roman" w:hAnsi="Times New Roman" w:eastAsia="仿宋_GB2312" w:cs="Times New Roman"/>
              </w:rPr>
              <w:t>计算机网络应用</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41</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41</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36</w:t>
            </w:r>
          </w:p>
        </w:tc>
        <w:tc>
          <w:tcPr>
            <w:tcW w:w="1125" w:type="dxa"/>
          </w:tcPr>
          <w:p>
            <w:pPr>
              <w:spacing w:before="22"/>
              <w:ind w:right="221"/>
              <w:jc w:val="center"/>
              <w:rPr>
                <w:rFonts w:ascii="Times New Roman" w:hAnsi="Times New Roman" w:eastAsia="仿宋_GB2312" w:cs="Times New Roman"/>
              </w:rPr>
            </w:pPr>
            <w:r>
              <w:rPr>
                <w:rFonts w:hint="eastAsia" w:ascii="Times New Roman" w:hAnsi="Times New Roman" w:eastAsia="仿宋_GB2312" w:cs="Times New Roman"/>
              </w:rPr>
              <w:t>87.80%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83.33%</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2200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计算机应用与维修</w:t>
            </w:r>
          </w:p>
        </w:tc>
        <w:tc>
          <w:tcPr>
            <w:tcW w:w="1417" w:type="dxa"/>
          </w:tcPr>
          <w:p>
            <w:pPr>
              <w:spacing w:before="22"/>
              <w:ind w:right="185"/>
              <w:jc w:val="center"/>
              <w:rPr>
                <w:rFonts w:ascii="Times New Roman" w:hAnsi="Times New Roman" w:eastAsia="仿宋_GB2312" w:cs="Times New Roman"/>
              </w:rPr>
            </w:pPr>
            <w:r>
              <w:rPr>
                <w:rFonts w:hint="eastAsia" w:ascii="Times New Roman" w:hAnsi="Times New Roman" w:eastAsia="仿宋_GB2312" w:cs="Times New Roman"/>
              </w:rPr>
              <w:t xml:space="preserve">  31</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31</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26</w:t>
            </w:r>
          </w:p>
        </w:tc>
        <w:tc>
          <w:tcPr>
            <w:tcW w:w="1125" w:type="dxa"/>
          </w:tcPr>
          <w:p>
            <w:pPr>
              <w:spacing w:before="22"/>
              <w:ind w:right="221"/>
              <w:jc w:val="center"/>
              <w:rPr>
                <w:rFonts w:ascii="Times New Roman" w:hAnsi="Times New Roman" w:eastAsia="仿宋_GB2312" w:cs="Times New Roman"/>
              </w:rPr>
            </w:pPr>
            <w:r>
              <w:rPr>
                <w:rFonts w:hint="eastAsia" w:ascii="Times New Roman" w:hAnsi="Times New Roman" w:eastAsia="仿宋_GB2312" w:cs="Times New Roman"/>
              </w:rPr>
              <w:t>83.87%</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84.61%</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交通客运服务</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84</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84</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76</w:t>
            </w:r>
          </w:p>
        </w:tc>
        <w:tc>
          <w:tcPr>
            <w:tcW w:w="1125" w:type="dxa"/>
          </w:tcPr>
          <w:p>
            <w:pPr>
              <w:spacing w:before="22"/>
              <w:ind w:right="221"/>
              <w:jc w:val="center"/>
              <w:rPr>
                <w:rFonts w:ascii="Times New Roman" w:hAnsi="Times New Roman" w:eastAsia="仿宋_GB2312" w:cs="Times New Roman"/>
              </w:rPr>
            </w:pPr>
            <w:r>
              <w:rPr>
                <w:rFonts w:hint="eastAsia" w:ascii="Times New Roman" w:hAnsi="Times New Roman" w:eastAsia="仿宋_GB2312" w:cs="Times New Roman"/>
              </w:rPr>
              <w:t>90.47%</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92.10%</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汽车维修</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346</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342</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98.84%</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329</w:t>
            </w:r>
          </w:p>
        </w:tc>
        <w:tc>
          <w:tcPr>
            <w:tcW w:w="1125" w:type="dxa"/>
          </w:tcPr>
          <w:p>
            <w:pPr>
              <w:spacing w:before="22"/>
              <w:ind w:right="221"/>
              <w:jc w:val="center"/>
              <w:rPr>
                <w:rFonts w:ascii="Times New Roman" w:hAnsi="Times New Roman" w:eastAsia="仿宋_GB2312" w:cs="Times New Roman"/>
              </w:rPr>
            </w:pPr>
            <w:r>
              <w:rPr>
                <w:rFonts w:hint="eastAsia" w:ascii="Times New Roman" w:hAnsi="Times New Roman" w:eastAsia="仿宋_GB2312" w:cs="Times New Roman"/>
              </w:rPr>
              <w:t>96.20%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88.01%</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3200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汽车驾驶</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46</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46</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46</w:t>
            </w:r>
          </w:p>
        </w:tc>
        <w:tc>
          <w:tcPr>
            <w:tcW w:w="1125"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95.65%</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3100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数控加工</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86</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84</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97.67%</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82</w:t>
            </w:r>
          </w:p>
        </w:tc>
        <w:tc>
          <w:tcPr>
            <w:tcW w:w="1125" w:type="dxa"/>
          </w:tcPr>
          <w:p>
            <w:pPr>
              <w:spacing w:before="22"/>
              <w:ind w:right="221"/>
              <w:jc w:val="center"/>
              <w:rPr>
                <w:rFonts w:ascii="Times New Roman" w:hAnsi="Times New Roman" w:eastAsia="仿宋_GB2312" w:cs="Times New Roman"/>
              </w:rPr>
            </w:pPr>
            <w:r>
              <w:rPr>
                <w:rFonts w:hint="eastAsia" w:ascii="Times New Roman" w:hAnsi="Times New Roman" w:eastAsia="仿宋_GB2312" w:cs="Times New Roman"/>
              </w:rPr>
              <w:t>97.62%</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90.24%</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3400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幼儿教育</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108</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105</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97.22%</w:t>
            </w:r>
          </w:p>
        </w:tc>
        <w:tc>
          <w:tcPr>
            <w:tcW w:w="882" w:type="dxa"/>
          </w:tcPr>
          <w:p>
            <w:pPr>
              <w:spacing w:before="22"/>
              <w:ind w:left="19" w:right="10"/>
              <w:jc w:val="center"/>
              <w:rPr>
                <w:rFonts w:ascii="Times New Roman" w:hAnsi="Times New Roman" w:eastAsia="仿宋_GB2312" w:cs="Times New Roman"/>
              </w:rPr>
            </w:pPr>
            <w:r>
              <w:rPr>
                <w:rFonts w:hint="eastAsia" w:ascii="Times New Roman" w:hAnsi="Times New Roman" w:eastAsia="仿宋_GB2312" w:cs="Times New Roman"/>
              </w:rPr>
              <w:t>105</w:t>
            </w:r>
          </w:p>
        </w:tc>
        <w:tc>
          <w:tcPr>
            <w:tcW w:w="1125"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90.47%</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2127" w:type="dxa"/>
            <w:gridSpan w:val="2"/>
          </w:tcPr>
          <w:p>
            <w:pPr>
              <w:jc w:val="center"/>
              <w:rPr>
                <w:rFonts w:ascii="Times New Roman" w:hAnsi="Times New Roman" w:eastAsia="仿宋_GB2312" w:cs="Times New Roman"/>
              </w:rPr>
            </w:pPr>
            <w:r>
              <w:rPr>
                <w:rFonts w:hint="eastAsia" w:ascii="Times New Roman" w:hAnsi="Times New Roman" w:eastAsia="仿宋_GB2312" w:cs="Times New Roman"/>
              </w:rPr>
              <w:t>焊接加工</w:t>
            </w:r>
          </w:p>
        </w:tc>
        <w:tc>
          <w:tcPr>
            <w:tcW w:w="1417" w:type="dxa"/>
          </w:tcPr>
          <w:p>
            <w:pPr>
              <w:spacing w:before="22"/>
              <w:ind w:left="192" w:right="185"/>
              <w:jc w:val="center"/>
              <w:rPr>
                <w:rFonts w:ascii="Times New Roman" w:hAnsi="Times New Roman" w:eastAsia="仿宋_GB2312" w:cs="Times New Roman"/>
              </w:rPr>
            </w:pPr>
            <w:r>
              <w:rPr>
                <w:rFonts w:hint="eastAsia" w:ascii="Times New Roman" w:hAnsi="Times New Roman" w:eastAsia="仿宋_GB2312" w:cs="Times New Roman"/>
              </w:rPr>
              <w:t>5</w:t>
            </w:r>
          </w:p>
        </w:tc>
        <w:tc>
          <w:tcPr>
            <w:tcW w:w="1134"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5</w:t>
            </w:r>
          </w:p>
        </w:tc>
        <w:tc>
          <w:tcPr>
            <w:tcW w:w="1276"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882" w:type="dxa"/>
          </w:tcPr>
          <w:p>
            <w:pPr>
              <w:spacing w:before="22"/>
              <w:ind w:right="165"/>
              <w:jc w:val="center"/>
              <w:rPr>
                <w:rFonts w:ascii="Times New Roman" w:hAnsi="Times New Roman" w:eastAsia="仿宋_GB2312" w:cs="Times New Roman"/>
              </w:rPr>
            </w:pPr>
            <w:r>
              <w:rPr>
                <w:rFonts w:hint="eastAsia" w:ascii="Times New Roman" w:hAnsi="Times New Roman" w:eastAsia="仿宋_GB2312" w:cs="Times New Roman"/>
              </w:rPr>
              <w:t>5</w:t>
            </w:r>
          </w:p>
        </w:tc>
        <w:tc>
          <w:tcPr>
            <w:tcW w:w="1125" w:type="dxa"/>
          </w:tcPr>
          <w:p>
            <w:pPr>
              <w:spacing w:before="22"/>
              <w:ind w:left="180" w:right="169"/>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1111" w:type="dxa"/>
          </w:tcPr>
          <w:p>
            <w:pPr>
              <w:spacing w:before="22"/>
              <w:ind w:left="193" w:right="183"/>
              <w:jc w:val="center"/>
              <w:rPr>
                <w:rFonts w:ascii="Times New Roman" w:hAnsi="Times New Roman" w:eastAsia="仿宋_GB2312" w:cs="Times New Roman"/>
              </w:rPr>
            </w:pPr>
            <w:r>
              <w:rPr>
                <w:rFonts w:hint="eastAsia" w:ascii="Times New Roman" w:hAnsi="Times New Roman" w:eastAsia="仿宋_GB2312" w:cs="Times New Roman"/>
              </w:rPr>
              <w:t>80.00%</w:t>
            </w:r>
          </w:p>
        </w:tc>
        <w:tc>
          <w:tcPr>
            <w:tcW w:w="1276" w:type="dxa"/>
          </w:tcPr>
          <w:p>
            <w:pPr>
              <w:spacing w:before="22"/>
              <w:ind w:right="183"/>
              <w:jc w:val="center"/>
              <w:rPr>
                <w:rFonts w:ascii="Times New Roman" w:hAnsi="Times New Roman" w:eastAsia="仿宋_GB2312" w:cs="Times New Roman"/>
              </w:rPr>
            </w:pPr>
            <w:r>
              <w:rPr>
                <w:rFonts w:hint="eastAsia" w:ascii="Times New Roman" w:hAnsi="Times New Roman" w:eastAsia="仿宋_GB2312" w:cs="Times New Roman"/>
              </w:rPr>
              <w:t>3200</w:t>
            </w:r>
          </w:p>
        </w:tc>
      </w:tr>
    </w:tbl>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3.创业创新服务</w:t>
      </w:r>
    </w:p>
    <w:p>
      <w:pPr>
        <w:tabs>
          <w:tab w:val="left" w:pos="1071"/>
        </w:tabs>
        <w:spacing w:line="580" w:lineRule="exact"/>
        <w:ind w:firstLine="640" w:firstLineChars="200"/>
      </w:pPr>
      <w:r>
        <w:rPr>
          <w:rFonts w:hint="eastAsia" w:ascii="Times New Roman" w:hAnsi="Times New Roman" w:eastAsia="仿宋_GB2312" w:cs="Times New Roman"/>
          <w:sz w:val="32"/>
        </w:rPr>
        <w:t>目前，学校暂时还未</w:t>
      </w:r>
      <w:r>
        <w:rPr>
          <w:rFonts w:ascii="Times New Roman" w:hAnsi="Times New Roman" w:eastAsia="仿宋_GB2312" w:cs="Times New Roman"/>
          <w:sz w:val="32"/>
        </w:rPr>
        <w:t>开展创业创新培训</w:t>
      </w:r>
      <w:r>
        <w:rPr>
          <w:rFonts w:hint="eastAsia" w:ascii="Times New Roman" w:hAnsi="Times New Roman" w:eastAsia="仿宋_GB2312" w:cs="Times New Roman"/>
          <w:sz w:val="32"/>
        </w:rPr>
        <w:t>和学校</w:t>
      </w:r>
      <w:r>
        <w:rPr>
          <w:rFonts w:ascii="Times New Roman" w:hAnsi="Times New Roman" w:eastAsia="仿宋_GB2312" w:cs="Times New Roman"/>
          <w:sz w:val="32"/>
        </w:rPr>
        <w:t>师生参与各类创业创新大赛</w:t>
      </w:r>
      <w:r>
        <w:rPr>
          <w:rFonts w:hint="eastAsia" w:ascii="Times New Roman" w:hAnsi="Times New Roman" w:eastAsia="仿宋_GB2312" w:cs="Times New Roman"/>
          <w:sz w:val="32"/>
        </w:rPr>
        <w:t>的</w:t>
      </w:r>
      <w:r>
        <w:rPr>
          <w:rFonts w:ascii="Times New Roman" w:hAnsi="Times New Roman" w:eastAsia="仿宋_GB2312" w:cs="Times New Roman"/>
          <w:sz w:val="32"/>
        </w:rPr>
        <w:t>情况</w:t>
      </w:r>
      <w:r>
        <w:rPr>
          <w:rFonts w:hint="eastAsia" w:ascii="Times New Roman" w:hAnsi="Times New Roman" w:eastAsia="仿宋_GB2312" w:cs="Times New Roman"/>
          <w:sz w:val="32"/>
        </w:rPr>
        <w:t>。但准备在</w:t>
      </w:r>
      <w:r>
        <w:rPr>
          <w:rFonts w:ascii="Times New Roman" w:hAnsi="Times New Roman" w:eastAsia="仿宋_GB2312" w:cs="Times New Roman"/>
          <w:sz w:val="32"/>
        </w:rPr>
        <w:t>“十四五”期间，</w:t>
      </w:r>
      <w:r>
        <w:rPr>
          <w:rFonts w:hint="eastAsia" w:ascii="Times New Roman" w:hAnsi="Times New Roman" w:eastAsia="仿宋_GB2312" w:cs="Times New Roman"/>
          <w:sz w:val="32"/>
        </w:rPr>
        <w:t>四川自贡市高级技工学校</w:t>
      </w:r>
      <w:r>
        <w:rPr>
          <w:rFonts w:ascii="Times New Roman" w:hAnsi="Times New Roman" w:eastAsia="仿宋_GB2312" w:cs="Times New Roman"/>
          <w:sz w:val="32"/>
        </w:rPr>
        <w:t>将</w:t>
      </w:r>
      <w:r>
        <w:rPr>
          <w:rFonts w:hint="eastAsia" w:ascii="Times New Roman" w:hAnsi="Times New Roman" w:eastAsia="仿宋_GB2312" w:cs="Times New Roman"/>
          <w:sz w:val="32"/>
        </w:rPr>
        <w:t>开始</w:t>
      </w:r>
      <w:r>
        <w:rPr>
          <w:rFonts w:ascii="Times New Roman" w:hAnsi="Times New Roman" w:eastAsia="仿宋_GB2312" w:cs="Times New Roman"/>
          <w:sz w:val="32"/>
        </w:rPr>
        <w:t>打造“</w:t>
      </w:r>
      <w:r>
        <w:rPr>
          <w:rFonts w:hint="eastAsia" w:ascii="Times New Roman" w:hAnsi="Times New Roman" w:eastAsia="仿宋_GB2312" w:cs="Times New Roman"/>
          <w:sz w:val="32"/>
        </w:rPr>
        <w:t>四川</w:t>
      </w:r>
      <w:r>
        <w:rPr>
          <w:rFonts w:ascii="Times New Roman" w:hAnsi="Times New Roman" w:eastAsia="仿宋_GB2312" w:cs="Times New Roman"/>
          <w:sz w:val="32"/>
        </w:rPr>
        <w:t>技工”品牌，大力培养支撑</w:t>
      </w:r>
      <w:r>
        <w:rPr>
          <w:rFonts w:hint="eastAsia" w:ascii="Times New Roman" w:hAnsi="Times New Roman" w:eastAsia="仿宋_GB2312" w:cs="Times New Roman"/>
          <w:sz w:val="32"/>
        </w:rPr>
        <w:t>四川</w:t>
      </w:r>
      <w:r>
        <w:rPr>
          <w:rFonts w:ascii="Times New Roman" w:hAnsi="Times New Roman" w:eastAsia="仿宋_GB2312" w:cs="Times New Roman"/>
          <w:sz w:val="32"/>
        </w:rPr>
        <w:t>制造、</w:t>
      </w:r>
      <w:r>
        <w:rPr>
          <w:rFonts w:hint="eastAsia" w:ascii="Times New Roman" w:hAnsi="Times New Roman" w:eastAsia="仿宋_GB2312" w:cs="Times New Roman"/>
          <w:sz w:val="32"/>
        </w:rPr>
        <w:t>四川</w:t>
      </w:r>
      <w:r>
        <w:rPr>
          <w:rFonts w:ascii="Times New Roman" w:hAnsi="Times New Roman" w:eastAsia="仿宋_GB2312" w:cs="Times New Roman"/>
          <w:sz w:val="32"/>
        </w:rPr>
        <w:t>创造的高素质技术技能人才，使无业者有业可就、有业者技能提升、从业者收入增加，服务全</w:t>
      </w:r>
      <w:r>
        <w:rPr>
          <w:rFonts w:hint="eastAsia" w:ascii="Times New Roman" w:hAnsi="Times New Roman" w:eastAsia="仿宋_GB2312" w:cs="Times New Roman"/>
          <w:sz w:val="32"/>
        </w:rPr>
        <w:t>省</w:t>
      </w:r>
      <w:r>
        <w:rPr>
          <w:rFonts w:ascii="Times New Roman" w:hAnsi="Times New Roman" w:eastAsia="仿宋_GB2312" w:cs="Times New Roman"/>
          <w:sz w:val="32"/>
        </w:rPr>
        <w:t>产业转型升级、乡村振兴和县域经济发展，助力</w:t>
      </w:r>
      <w:r>
        <w:rPr>
          <w:rFonts w:hint="eastAsia" w:ascii="Times New Roman" w:hAnsi="Times New Roman" w:eastAsia="仿宋_GB2312" w:cs="Times New Roman"/>
          <w:sz w:val="32"/>
        </w:rPr>
        <w:t>四川</w:t>
      </w:r>
      <w:r>
        <w:rPr>
          <w:rFonts w:ascii="Times New Roman" w:hAnsi="Times New Roman" w:eastAsia="仿宋_GB2312" w:cs="Times New Roman"/>
          <w:sz w:val="32"/>
        </w:rPr>
        <w:t>经济社会高质量发展。</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（二）就业创业质量</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1.就业创业质量</w:t>
      </w:r>
    </w:p>
    <w:p>
      <w:pPr>
        <w:tabs>
          <w:tab w:val="left" w:pos="1071"/>
        </w:tabs>
        <w:spacing w:line="580" w:lineRule="exact"/>
        <w:ind w:firstLine="640" w:firstLineChars="200"/>
      </w:pPr>
      <w:r>
        <w:rPr>
          <w:rFonts w:hint="eastAsia" w:ascii="Times New Roman" w:hAnsi="Times New Roman" w:eastAsia="仿宋_GB2312" w:cs="Times New Roman"/>
          <w:sz w:val="32"/>
        </w:rPr>
        <w:t>2020-2021年学校学生就业主要分布在成都市、重庆市、上海、江苏、浙江、自贡的各大、中型企业，包涵二产业、三产业，大部分毕业生就业专业对口，达到85%以上，学生初次就业收入一般在4000元以上，高的达7000元，如重庆海尔公司，通过对企业的各种联系和走访，用人单位对我校毕业生的劳动态度、专业技术操作能力非常满意，综合满意度达95%以上。</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表36 2020-2021年学校毕业生就业创业情况统计表</w:t>
      </w:r>
    </w:p>
    <w:tbl>
      <w:tblPr>
        <w:tblStyle w:val="12"/>
        <w:tblW w:w="9072"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6"/>
        <w:gridCol w:w="1348"/>
        <w:gridCol w:w="1487"/>
        <w:gridCol w:w="1417"/>
        <w:gridCol w:w="1265"/>
        <w:gridCol w:w="1429"/>
        <w:gridCol w:w="1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46" w:type="dxa"/>
            <w:vMerge w:val="restart"/>
          </w:tcPr>
          <w:p>
            <w:pPr>
              <w:pStyle w:val="11"/>
              <w:spacing w:before="153"/>
              <w:ind w:left="212"/>
              <w:jc w:val="center"/>
              <w:rPr>
                <w:rFonts w:ascii="Times New Roman" w:hAnsi="Times New Roman" w:eastAsia="仿宋" w:cs="Times New Roman"/>
                <w:b/>
              </w:rPr>
            </w:pPr>
            <w:r>
              <w:rPr>
                <w:rFonts w:ascii="Times New Roman" w:hAnsi="Times New Roman" w:eastAsia="仿宋" w:cs="Times New Roman"/>
                <w:b/>
              </w:rPr>
              <w:t>年度</w:t>
            </w:r>
          </w:p>
        </w:tc>
        <w:tc>
          <w:tcPr>
            <w:tcW w:w="1348" w:type="dxa"/>
            <w:vMerge w:val="restart"/>
          </w:tcPr>
          <w:p>
            <w:pPr>
              <w:pStyle w:val="11"/>
              <w:spacing w:before="16"/>
              <w:ind w:left="126" w:right="116"/>
              <w:jc w:val="center"/>
              <w:rPr>
                <w:rFonts w:ascii="Times New Roman" w:hAnsi="Times New Roman" w:eastAsia="仿宋" w:cs="Times New Roman"/>
                <w:b/>
              </w:rPr>
            </w:pPr>
            <w:r>
              <w:rPr>
                <w:rFonts w:ascii="Times New Roman" w:hAnsi="Times New Roman" w:eastAsia="仿宋" w:cs="Times New Roman"/>
                <w:b/>
              </w:rPr>
              <w:t>毕业学生数</w:t>
            </w:r>
          </w:p>
          <w:p>
            <w:pPr>
              <w:pStyle w:val="11"/>
              <w:spacing w:before="4" w:line="268" w:lineRule="exact"/>
              <w:ind w:left="124" w:right="116"/>
              <w:jc w:val="center"/>
              <w:rPr>
                <w:rFonts w:ascii="Times New Roman" w:hAnsi="Times New Roman" w:eastAsia="仿宋" w:cs="Times New Roman"/>
                <w:b/>
              </w:rPr>
            </w:pPr>
            <w:r>
              <w:rPr>
                <w:rFonts w:ascii="Times New Roman" w:hAnsi="Times New Roman" w:eastAsia="仿宋" w:cs="Times New Roman"/>
                <w:b/>
              </w:rPr>
              <w:t>（人）</w:t>
            </w:r>
          </w:p>
        </w:tc>
        <w:tc>
          <w:tcPr>
            <w:tcW w:w="1487" w:type="dxa"/>
            <w:vMerge w:val="restart"/>
          </w:tcPr>
          <w:p>
            <w:pPr>
              <w:pStyle w:val="11"/>
              <w:spacing w:before="16"/>
              <w:ind w:left="106" w:right="99"/>
              <w:jc w:val="center"/>
              <w:rPr>
                <w:rFonts w:ascii="Times New Roman" w:hAnsi="Times New Roman" w:eastAsia="仿宋" w:cs="Times New Roman"/>
                <w:b/>
              </w:rPr>
            </w:pPr>
            <w:r>
              <w:rPr>
                <w:rFonts w:ascii="Times New Roman" w:hAnsi="Times New Roman" w:eastAsia="仿宋" w:cs="Times New Roman"/>
                <w:b/>
              </w:rPr>
              <w:t>直接就业数</w:t>
            </w:r>
          </w:p>
          <w:p>
            <w:pPr>
              <w:pStyle w:val="11"/>
              <w:spacing w:before="4" w:line="268" w:lineRule="exact"/>
              <w:ind w:left="109" w:right="99"/>
              <w:jc w:val="center"/>
              <w:rPr>
                <w:rFonts w:ascii="Times New Roman" w:hAnsi="Times New Roman" w:eastAsia="仿宋" w:cs="Times New Roman"/>
                <w:b/>
              </w:rPr>
            </w:pPr>
            <w:r>
              <w:rPr>
                <w:rFonts w:ascii="Times New Roman" w:hAnsi="Times New Roman" w:eastAsia="仿宋" w:cs="Times New Roman"/>
                <w:b/>
              </w:rPr>
              <w:t>（人）</w:t>
            </w:r>
          </w:p>
        </w:tc>
        <w:tc>
          <w:tcPr>
            <w:tcW w:w="2682" w:type="dxa"/>
            <w:gridSpan w:val="2"/>
          </w:tcPr>
          <w:p>
            <w:pPr>
              <w:pStyle w:val="11"/>
              <w:spacing w:before="6" w:line="258" w:lineRule="exact"/>
              <w:ind w:left="288"/>
              <w:jc w:val="center"/>
              <w:rPr>
                <w:rFonts w:ascii="Times New Roman" w:hAnsi="Times New Roman" w:eastAsia="仿宋" w:cs="Times New Roman"/>
                <w:b/>
              </w:rPr>
            </w:pPr>
            <w:r>
              <w:rPr>
                <w:rFonts w:ascii="Times New Roman" w:hAnsi="Times New Roman" w:eastAsia="仿宋" w:cs="Times New Roman"/>
                <w:b/>
              </w:rPr>
              <w:t>本市（州）内就业数</w:t>
            </w:r>
          </w:p>
        </w:tc>
        <w:tc>
          <w:tcPr>
            <w:tcW w:w="2709" w:type="dxa"/>
            <w:gridSpan w:val="2"/>
          </w:tcPr>
          <w:p>
            <w:pPr>
              <w:pStyle w:val="11"/>
              <w:spacing w:before="6" w:line="258" w:lineRule="exact"/>
              <w:ind w:left="299"/>
              <w:jc w:val="center"/>
              <w:rPr>
                <w:rFonts w:ascii="Times New Roman" w:hAnsi="Times New Roman" w:eastAsia="仿宋" w:cs="Times New Roman"/>
                <w:b/>
              </w:rPr>
            </w:pPr>
            <w:r>
              <w:rPr>
                <w:rFonts w:ascii="Times New Roman" w:hAnsi="Times New Roman" w:eastAsia="仿宋" w:cs="Times New Roman"/>
                <w:b/>
              </w:rPr>
              <w:t>本市（州）外就业数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46" w:type="dxa"/>
            <w:vMerge w:val="continue"/>
            <w:tcBorders>
              <w:top w:val="nil"/>
            </w:tcBorders>
          </w:tcPr>
          <w:p>
            <w:pPr>
              <w:jc w:val="center"/>
              <w:rPr>
                <w:rFonts w:ascii="Times New Roman" w:hAnsi="Times New Roman" w:cs="Times New Roman"/>
                <w:sz w:val="2"/>
                <w:szCs w:val="2"/>
              </w:rPr>
            </w:pPr>
          </w:p>
        </w:tc>
        <w:tc>
          <w:tcPr>
            <w:tcW w:w="1348" w:type="dxa"/>
            <w:vMerge w:val="continue"/>
            <w:tcBorders>
              <w:top w:val="nil"/>
            </w:tcBorders>
          </w:tcPr>
          <w:p>
            <w:pPr>
              <w:jc w:val="center"/>
              <w:rPr>
                <w:rFonts w:ascii="Times New Roman" w:hAnsi="Times New Roman" w:cs="Times New Roman"/>
                <w:sz w:val="2"/>
                <w:szCs w:val="2"/>
              </w:rPr>
            </w:pPr>
          </w:p>
        </w:tc>
        <w:tc>
          <w:tcPr>
            <w:tcW w:w="1487" w:type="dxa"/>
            <w:vMerge w:val="continue"/>
            <w:tcBorders>
              <w:top w:val="nil"/>
            </w:tcBorders>
          </w:tcPr>
          <w:p>
            <w:pPr>
              <w:jc w:val="center"/>
              <w:rPr>
                <w:rFonts w:ascii="Times New Roman" w:hAnsi="Times New Roman" w:cs="Times New Roman"/>
                <w:sz w:val="2"/>
                <w:szCs w:val="2"/>
              </w:rPr>
            </w:pPr>
          </w:p>
        </w:tc>
        <w:tc>
          <w:tcPr>
            <w:tcW w:w="1417" w:type="dxa"/>
          </w:tcPr>
          <w:p>
            <w:pPr>
              <w:pStyle w:val="11"/>
              <w:spacing w:before="5" w:line="259" w:lineRule="exact"/>
              <w:ind w:left="158" w:right="151"/>
              <w:jc w:val="center"/>
              <w:rPr>
                <w:rFonts w:ascii="Times New Roman" w:hAnsi="Times New Roman" w:eastAsia="仿宋" w:cs="Times New Roman"/>
                <w:b/>
              </w:rPr>
            </w:pPr>
            <w:r>
              <w:rPr>
                <w:rFonts w:ascii="Times New Roman" w:hAnsi="Times New Roman" w:eastAsia="仿宋" w:cs="Times New Roman"/>
                <w:b/>
              </w:rPr>
              <w:t>数量（人）</w:t>
            </w:r>
          </w:p>
        </w:tc>
        <w:tc>
          <w:tcPr>
            <w:tcW w:w="1265" w:type="dxa"/>
          </w:tcPr>
          <w:p>
            <w:pPr>
              <w:pStyle w:val="11"/>
              <w:spacing w:before="5" w:line="259" w:lineRule="exact"/>
              <w:ind w:left="87" w:right="74"/>
              <w:jc w:val="center"/>
              <w:rPr>
                <w:rFonts w:ascii="Times New Roman" w:hAnsi="Times New Roman" w:eastAsia="仿宋" w:cs="Times New Roman"/>
                <w:b/>
              </w:rPr>
            </w:pPr>
            <w:r>
              <w:rPr>
                <w:rFonts w:ascii="Times New Roman" w:hAnsi="Times New Roman" w:eastAsia="仿宋" w:cs="Times New Roman"/>
                <w:b/>
              </w:rPr>
              <w:t>比例（</w:t>
            </w:r>
            <w:r>
              <w:rPr>
                <w:rFonts w:ascii="Times New Roman" w:hAnsi="Times New Roman" w:cs="Times New Roman"/>
                <w:b/>
              </w:rPr>
              <w:t>%</w:t>
            </w:r>
            <w:r>
              <w:rPr>
                <w:rFonts w:ascii="Times New Roman" w:hAnsi="Times New Roman" w:eastAsia="仿宋" w:cs="Times New Roman"/>
                <w:b/>
              </w:rPr>
              <w:t>）</w:t>
            </w:r>
          </w:p>
        </w:tc>
        <w:tc>
          <w:tcPr>
            <w:tcW w:w="1429" w:type="dxa"/>
          </w:tcPr>
          <w:p>
            <w:pPr>
              <w:pStyle w:val="11"/>
              <w:spacing w:before="5" w:line="259" w:lineRule="exact"/>
              <w:ind w:left="165" w:right="158"/>
              <w:jc w:val="center"/>
              <w:rPr>
                <w:rFonts w:ascii="Times New Roman" w:hAnsi="Times New Roman" w:eastAsia="仿宋" w:cs="Times New Roman"/>
                <w:b/>
              </w:rPr>
            </w:pPr>
            <w:r>
              <w:rPr>
                <w:rFonts w:ascii="Times New Roman" w:hAnsi="Times New Roman" w:eastAsia="仿宋" w:cs="Times New Roman"/>
                <w:b/>
              </w:rPr>
              <w:t>数量（人）</w:t>
            </w:r>
          </w:p>
        </w:tc>
        <w:tc>
          <w:tcPr>
            <w:tcW w:w="1280" w:type="dxa"/>
          </w:tcPr>
          <w:p>
            <w:pPr>
              <w:pStyle w:val="11"/>
              <w:spacing w:before="5" w:line="259" w:lineRule="exact"/>
              <w:ind w:left="93" w:right="83"/>
              <w:jc w:val="center"/>
              <w:rPr>
                <w:rFonts w:ascii="Times New Roman" w:hAnsi="Times New Roman" w:eastAsia="仿宋" w:cs="Times New Roman"/>
                <w:b/>
              </w:rPr>
            </w:pPr>
            <w:r>
              <w:rPr>
                <w:rFonts w:ascii="Times New Roman" w:hAnsi="Times New Roman" w:eastAsia="仿宋" w:cs="Times New Roman"/>
                <w:b/>
              </w:rPr>
              <w:t>比例（</w:t>
            </w:r>
            <w:r>
              <w:rPr>
                <w:rFonts w:ascii="Times New Roman" w:hAnsi="Times New Roman" w:cs="Times New Roman"/>
                <w:b/>
              </w:rPr>
              <w:t>%</w:t>
            </w:r>
            <w:r>
              <w:rPr>
                <w:rFonts w:ascii="Times New Roman" w:hAnsi="Times New Roman" w:eastAsia="仿宋" w:cs="Times New Roman"/>
                <w:b/>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46" w:type="dxa"/>
          </w:tcPr>
          <w:p>
            <w:pPr>
              <w:pStyle w:val="11"/>
              <w:spacing w:before="20"/>
              <w:ind w:left="191" w:right="181"/>
              <w:jc w:val="center"/>
              <w:rPr>
                <w:rFonts w:ascii="Times New Roman" w:hAnsi="Times New Roman" w:cs="Times New Roman"/>
              </w:rPr>
            </w:pPr>
            <w:r>
              <w:rPr>
                <w:rFonts w:ascii="Times New Roman" w:hAnsi="Times New Roman" w:cs="Times New Roman"/>
              </w:rPr>
              <w:t>2020</w:t>
            </w:r>
          </w:p>
        </w:tc>
        <w:tc>
          <w:tcPr>
            <w:tcW w:w="1348" w:type="dxa"/>
          </w:tcPr>
          <w:p>
            <w:pPr>
              <w:spacing w:before="20"/>
              <w:ind w:left="515"/>
              <w:jc w:val="center"/>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80</w:t>
            </w:r>
          </w:p>
        </w:tc>
        <w:tc>
          <w:tcPr>
            <w:tcW w:w="1487" w:type="dxa"/>
          </w:tcPr>
          <w:p>
            <w:pPr>
              <w:spacing w:before="20"/>
              <w:ind w:right="572"/>
              <w:jc w:val="center"/>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71</w:t>
            </w:r>
          </w:p>
        </w:tc>
        <w:tc>
          <w:tcPr>
            <w:tcW w:w="1417" w:type="dxa"/>
          </w:tcPr>
          <w:p>
            <w:pPr>
              <w:spacing w:before="20"/>
              <w:ind w:left="159" w:right="148"/>
              <w:jc w:val="center"/>
              <w:rPr>
                <w:rFonts w:ascii="Times New Roman" w:hAnsi="Times New Roman" w:cs="Times New Roman"/>
              </w:rPr>
            </w:pPr>
            <w:r>
              <w:rPr>
                <w:rFonts w:ascii="Times New Roman" w:hAnsi="Times New Roman" w:cs="Times New Roman"/>
              </w:rPr>
              <w:t>315</w:t>
            </w:r>
          </w:p>
        </w:tc>
        <w:tc>
          <w:tcPr>
            <w:tcW w:w="1265" w:type="dxa"/>
          </w:tcPr>
          <w:p>
            <w:pPr>
              <w:spacing w:before="20"/>
              <w:ind w:left="84" w:right="74"/>
              <w:jc w:val="center"/>
              <w:rPr>
                <w:rFonts w:ascii="Times New Roman" w:hAnsi="Times New Roman" w:cs="Times New Roman"/>
              </w:rPr>
            </w:pPr>
            <w:r>
              <w:rPr>
                <w:rFonts w:ascii="Times New Roman" w:hAnsi="Times New Roman" w:cs="Times New Roman"/>
              </w:rPr>
              <w:t>46.9</w:t>
            </w:r>
            <w:r>
              <w:rPr>
                <w:rFonts w:hint="eastAsia" w:ascii="Times New Roman" w:hAnsi="Times New Roman" w:cs="Times New Roman"/>
              </w:rPr>
              <w:t>%</w:t>
            </w:r>
          </w:p>
        </w:tc>
        <w:tc>
          <w:tcPr>
            <w:tcW w:w="1429" w:type="dxa"/>
          </w:tcPr>
          <w:p>
            <w:pPr>
              <w:spacing w:before="20"/>
              <w:ind w:left="164" w:right="158"/>
              <w:jc w:val="center"/>
              <w:rPr>
                <w:rFonts w:ascii="Times New Roman" w:hAnsi="Times New Roman" w:cs="Times New Roman"/>
              </w:rPr>
            </w:pPr>
            <w:r>
              <w:rPr>
                <w:rFonts w:ascii="Times New Roman" w:hAnsi="Times New Roman" w:cs="Times New Roman"/>
              </w:rPr>
              <w:t>356</w:t>
            </w:r>
          </w:p>
        </w:tc>
        <w:tc>
          <w:tcPr>
            <w:tcW w:w="1280" w:type="dxa"/>
          </w:tcPr>
          <w:p>
            <w:pPr>
              <w:spacing w:before="20"/>
              <w:ind w:left="90" w:right="83"/>
              <w:jc w:val="center"/>
              <w:rPr>
                <w:rFonts w:ascii="Times New Roman" w:hAnsi="Times New Roman" w:cs="Times New Roman"/>
              </w:rPr>
            </w:pPr>
            <w:r>
              <w:rPr>
                <w:rFonts w:ascii="Times New Roman" w:hAnsi="Times New Roman" w:cs="Times New Roman"/>
              </w:rPr>
              <w:t>53.1</w:t>
            </w:r>
            <w:r>
              <w:rPr>
                <w:rFonts w:hint="eastAsia" w:ascii="Times New Roman" w:hAnsi="Times New Roman" w:cs="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46" w:type="dxa"/>
          </w:tcPr>
          <w:p>
            <w:pPr>
              <w:pStyle w:val="11"/>
              <w:spacing w:before="21"/>
              <w:ind w:left="191" w:right="181"/>
              <w:jc w:val="center"/>
              <w:rPr>
                <w:rFonts w:ascii="Times New Roman" w:hAnsi="Times New Roman" w:cs="Times New Roman"/>
              </w:rPr>
            </w:pPr>
            <w:r>
              <w:rPr>
                <w:rFonts w:ascii="Times New Roman" w:hAnsi="Times New Roman" w:cs="Times New Roman"/>
              </w:rPr>
              <w:t>2021</w:t>
            </w:r>
          </w:p>
        </w:tc>
        <w:tc>
          <w:tcPr>
            <w:tcW w:w="1348" w:type="dxa"/>
          </w:tcPr>
          <w:p>
            <w:pPr>
              <w:spacing w:before="21"/>
              <w:ind w:left="515"/>
              <w:jc w:val="center"/>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11</w:t>
            </w:r>
          </w:p>
        </w:tc>
        <w:tc>
          <w:tcPr>
            <w:tcW w:w="1487" w:type="dxa"/>
          </w:tcPr>
          <w:p>
            <w:pPr>
              <w:spacing w:before="21"/>
              <w:ind w:right="572"/>
              <w:jc w:val="center"/>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09</w:t>
            </w:r>
          </w:p>
        </w:tc>
        <w:tc>
          <w:tcPr>
            <w:tcW w:w="1417" w:type="dxa"/>
          </w:tcPr>
          <w:p>
            <w:pPr>
              <w:spacing w:before="21"/>
              <w:ind w:left="159" w:right="148"/>
              <w:jc w:val="cente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05</w:t>
            </w:r>
          </w:p>
        </w:tc>
        <w:tc>
          <w:tcPr>
            <w:tcW w:w="1265" w:type="dxa"/>
          </w:tcPr>
          <w:p>
            <w:pPr>
              <w:spacing w:before="21"/>
              <w:ind w:left="84" w:right="74"/>
              <w:jc w:val="center"/>
              <w:rPr>
                <w:rFonts w:ascii="Times New Roman" w:hAnsi="Times New Roman" w:cs="Times New Roman"/>
              </w:rPr>
            </w:pPr>
            <w:r>
              <w:rPr>
                <w:rFonts w:ascii="Times New Roman" w:hAnsi="Times New Roman" w:cs="Times New Roman"/>
              </w:rPr>
              <w:t>34</w:t>
            </w:r>
            <w:r>
              <w:rPr>
                <w:rFonts w:hint="eastAsia" w:ascii="Times New Roman" w:hAnsi="Times New Roman" w:cs="Times New Roman"/>
              </w:rPr>
              <w:t>%</w:t>
            </w:r>
          </w:p>
        </w:tc>
        <w:tc>
          <w:tcPr>
            <w:tcW w:w="1429" w:type="dxa"/>
          </w:tcPr>
          <w:p>
            <w:pPr>
              <w:spacing w:before="21"/>
              <w:ind w:left="165" w:right="154"/>
              <w:jc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04</w:t>
            </w:r>
          </w:p>
        </w:tc>
        <w:tc>
          <w:tcPr>
            <w:tcW w:w="1280" w:type="dxa"/>
          </w:tcPr>
          <w:p>
            <w:pPr>
              <w:spacing w:before="21"/>
              <w:ind w:left="93" w:right="81"/>
              <w:jc w:val="center"/>
              <w:rPr>
                <w:rFonts w:ascii="Times New Roman" w:hAnsi="Times New Roman" w:cs="Times New Roman"/>
              </w:rPr>
            </w:pPr>
            <w:r>
              <w:rPr>
                <w:rFonts w:ascii="Times New Roman" w:hAnsi="Times New Roman" w:cs="Times New Roman"/>
              </w:rPr>
              <w:t>66</w:t>
            </w:r>
            <w:r>
              <w:rPr>
                <w:rFonts w:hint="eastAsia" w:ascii="Times New Roman" w:hAnsi="Times New Roman" w:cs="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46" w:type="dxa"/>
          </w:tcPr>
          <w:p>
            <w:pPr>
              <w:pStyle w:val="11"/>
              <w:spacing w:before="136"/>
              <w:ind w:left="191" w:right="183"/>
              <w:jc w:val="center"/>
              <w:rPr>
                <w:rFonts w:ascii="Times New Roman" w:hAnsi="Times New Roman" w:eastAsia="仿宋" w:cs="Times New Roman"/>
                <w:b/>
              </w:rPr>
            </w:pPr>
            <w:r>
              <w:rPr>
                <w:rFonts w:ascii="Times New Roman" w:hAnsi="Times New Roman" w:eastAsia="仿宋" w:cs="Times New Roman"/>
                <w:b/>
              </w:rPr>
              <w:t>年度</w:t>
            </w:r>
          </w:p>
        </w:tc>
        <w:tc>
          <w:tcPr>
            <w:tcW w:w="1348" w:type="dxa"/>
          </w:tcPr>
          <w:p>
            <w:pPr>
              <w:pStyle w:val="11"/>
              <w:spacing w:before="1"/>
              <w:ind w:left="126" w:right="116"/>
              <w:jc w:val="center"/>
              <w:rPr>
                <w:rFonts w:ascii="Times New Roman" w:hAnsi="Times New Roman" w:eastAsia="仿宋" w:cs="Times New Roman"/>
                <w:b/>
              </w:rPr>
            </w:pPr>
            <w:r>
              <w:rPr>
                <w:rFonts w:ascii="Times New Roman" w:hAnsi="Times New Roman" w:eastAsia="仿宋" w:cs="Times New Roman"/>
                <w:b/>
              </w:rPr>
              <w:t>对口就业率</w:t>
            </w:r>
          </w:p>
          <w:p>
            <w:pPr>
              <w:pStyle w:val="11"/>
              <w:spacing w:before="2" w:line="252" w:lineRule="exact"/>
              <w:ind w:left="122" w:right="116"/>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cs="Times New Roman"/>
                <w:b/>
              </w:rPr>
              <w:t>%</w:t>
            </w:r>
            <w:r>
              <w:rPr>
                <w:rFonts w:ascii="Times New Roman" w:hAnsi="Times New Roman" w:eastAsia="仿宋" w:cs="Times New Roman"/>
                <w:b/>
              </w:rPr>
              <w:t>）</w:t>
            </w:r>
          </w:p>
        </w:tc>
        <w:tc>
          <w:tcPr>
            <w:tcW w:w="1487" w:type="dxa"/>
          </w:tcPr>
          <w:p>
            <w:pPr>
              <w:pStyle w:val="11"/>
              <w:spacing w:before="1"/>
              <w:ind w:left="109" w:right="99"/>
              <w:jc w:val="center"/>
              <w:rPr>
                <w:rFonts w:ascii="Times New Roman" w:hAnsi="Times New Roman" w:eastAsia="仿宋" w:cs="Times New Roman"/>
                <w:b/>
              </w:rPr>
            </w:pPr>
            <w:r>
              <w:rPr>
                <w:rFonts w:ascii="Times New Roman" w:hAnsi="Times New Roman" w:eastAsia="仿宋" w:cs="Times New Roman"/>
                <w:b/>
              </w:rPr>
              <w:t>初次就业</w:t>
            </w:r>
          </w:p>
          <w:p>
            <w:pPr>
              <w:pStyle w:val="11"/>
              <w:spacing w:before="2" w:line="252" w:lineRule="exact"/>
              <w:ind w:left="92" w:right="80"/>
              <w:jc w:val="center"/>
              <w:rPr>
                <w:rFonts w:ascii="Times New Roman" w:hAnsi="Times New Roman" w:eastAsia="仿宋" w:cs="Times New Roman"/>
                <w:b/>
              </w:rPr>
            </w:pPr>
            <w:r>
              <w:rPr>
                <w:rFonts w:ascii="Times New Roman" w:hAnsi="Times New Roman" w:eastAsia="仿宋" w:cs="Times New Roman"/>
                <w:b/>
              </w:rPr>
              <w:t>月收入（元）</w:t>
            </w:r>
          </w:p>
        </w:tc>
        <w:tc>
          <w:tcPr>
            <w:tcW w:w="1417" w:type="dxa"/>
          </w:tcPr>
          <w:p>
            <w:pPr>
              <w:pStyle w:val="11"/>
              <w:jc w:val="center"/>
              <w:rPr>
                <w:rFonts w:ascii="Times New Roman" w:hAnsi="Times New Roman" w:eastAsia="仿宋" w:cs="Times New Roman"/>
                <w:b/>
              </w:rPr>
            </w:pPr>
            <w:r>
              <w:rPr>
                <w:rFonts w:ascii="Times New Roman" w:hAnsi="Times New Roman" w:eastAsia="仿宋" w:cs="Times New Roman"/>
                <w:b/>
                <w:w w:val="95"/>
              </w:rPr>
              <w:t>创业率</w:t>
            </w:r>
          </w:p>
          <w:p>
            <w:pPr>
              <w:pStyle w:val="11"/>
              <w:spacing w:line="252" w:lineRule="exact"/>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cs="Times New Roman"/>
                <w:b/>
              </w:rPr>
              <w:t>%</w:t>
            </w:r>
            <w:r>
              <w:rPr>
                <w:rFonts w:ascii="Times New Roman" w:hAnsi="Times New Roman" w:eastAsia="仿宋" w:cs="Times New Roman"/>
                <w:b/>
              </w:rPr>
              <w:t>）</w:t>
            </w:r>
          </w:p>
        </w:tc>
        <w:tc>
          <w:tcPr>
            <w:tcW w:w="3974" w:type="dxa"/>
            <w:gridSpan w:val="3"/>
          </w:tcPr>
          <w:p>
            <w:pPr>
              <w:pStyle w:val="11"/>
              <w:spacing w:before="136"/>
              <w:ind w:left="622"/>
              <w:jc w:val="center"/>
              <w:rPr>
                <w:rFonts w:ascii="Times New Roman" w:hAnsi="Times New Roman" w:eastAsia="仿宋" w:cs="Times New Roman"/>
                <w:b/>
              </w:rPr>
            </w:pPr>
            <w:r>
              <w:rPr>
                <w:rFonts w:ascii="Times New Roman" w:hAnsi="Times New Roman" w:eastAsia="仿宋" w:cs="Times New Roman"/>
                <w:b/>
              </w:rPr>
              <w:t>用人单位对毕业生的满意度（</w:t>
            </w:r>
            <w:r>
              <w:rPr>
                <w:rFonts w:ascii="Times New Roman" w:hAnsi="Times New Roman" w:cs="Times New Roman"/>
                <w:b/>
              </w:rPr>
              <w:t>%</w:t>
            </w:r>
            <w:r>
              <w:rPr>
                <w:rFonts w:ascii="Times New Roman" w:hAnsi="Times New Roman" w:eastAsia="仿宋" w:cs="Times New Roman"/>
                <w:b/>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46" w:type="dxa"/>
          </w:tcPr>
          <w:p>
            <w:pPr>
              <w:pStyle w:val="11"/>
              <w:spacing w:before="20"/>
              <w:ind w:left="191" w:right="181"/>
              <w:jc w:val="center"/>
              <w:rPr>
                <w:rFonts w:ascii="Times New Roman" w:hAnsi="Times New Roman" w:cs="Times New Roman"/>
              </w:rPr>
            </w:pPr>
            <w:r>
              <w:rPr>
                <w:rFonts w:ascii="Times New Roman" w:hAnsi="Times New Roman" w:cs="Times New Roman"/>
              </w:rPr>
              <w:t>2020</w:t>
            </w:r>
          </w:p>
        </w:tc>
        <w:tc>
          <w:tcPr>
            <w:tcW w:w="1348" w:type="dxa"/>
          </w:tcPr>
          <w:p>
            <w:pPr>
              <w:spacing w:before="19"/>
              <w:ind w:left="482"/>
              <w:jc w:val="center"/>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5</w:t>
            </w:r>
            <w:r>
              <w:rPr>
                <w:rFonts w:hint="eastAsia" w:ascii="Times New Roman" w:hAnsi="Times New Roman" w:cs="Times New Roman"/>
              </w:rPr>
              <w:t>%</w:t>
            </w:r>
          </w:p>
        </w:tc>
        <w:tc>
          <w:tcPr>
            <w:tcW w:w="1487" w:type="dxa"/>
          </w:tcPr>
          <w:p>
            <w:pPr>
              <w:spacing w:before="19"/>
              <w:ind w:right="522"/>
              <w:jc w:val="center"/>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000</w:t>
            </w:r>
          </w:p>
        </w:tc>
        <w:tc>
          <w:tcPr>
            <w:tcW w:w="1417" w:type="dxa"/>
          </w:tcPr>
          <w:p>
            <w:pPr>
              <w:spacing w:before="19"/>
              <w:ind w:left="6"/>
              <w:jc w:val="center"/>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w:t>
            </w:r>
          </w:p>
        </w:tc>
        <w:tc>
          <w:tcPr>
            <w:tcW w:w="3974" w:type="dxa"/>
            <w:gridSpan w:val="3"/>
          </w:tcPr>
          <w:p>
            <w:pPr>
              <w:spacing w:before="19"/>
              <w:ind w:left="1773" w:right="1765"/>
              <w:jc w:val="center"/>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2</w:t>
            </w:r>
            <w:r>
              <w:rPr>
                <w:rFonts w:hint="eastAsia" w:ascii="Times New Roman" w:hAnsi="Times New Roman" w:cs="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46" w:type="dxa"/>
          </w:tcPr>
          <w:p>
            <w:pPr>
              <w:pStyle w:val="11"/>
              <w:spacing w:before="21"/>
              <w:ind w:left="191" w:right="181"/>
              <w:jc w:val="center"/>
              <w:rPr>
                <w:rFonts w:ascii="Times New Roman" w:hAnsi="Times New Roman" w:cs="Times New Roman"/>
              </w:rPr>
            </w:pPr>
            <w:r>
              <w:rPr>
                <w:rFonts w:ascii="Times New Roman" w:hAnsi="Times New Roman" w:cs="Times New Roman"/>
              </w:rPr>
              <w:t>2021</w:t>
            </w:r>
          </w:p>
        </w:tc>
        <w:tc>
          <w:tcPr>
            <w:tcW w:w="1348" w:type="dxa"/>
          </w:tcPr>
          <w:p>
            <w:pPr>
              <w:spacing w:before="21"/>
              <w:ind w:left="482"/>
              <w:jc w:val="center"/>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6.7</w:t>
            </w:r>
            <w:r>
              <w:rPr>
                <w:rFonts w:hint="eastAsia" w:ascii="Times New Roman" w:hAnsi="Times New Roman" w:cs="Times New Roman"/>
              </w:rPr>
              <w:t>%</w:t>
            </w:r>
          </w:p>
        </w:tc>
        <w:tc>
          <w:tcPr>
            <w:tcW w:w="1487" w:type="dxa"/>
          </w:tcPr>
          <w:p>
            <w:pPr>
              <w:spacing w:before="21"/>
              <w:ind w:right="522"/>
              <w:jc w:val="center"/>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000</w:t>
            </w:r>
          </w:p>
        </w:tc>
        <w:tc>
          <w:tcPr>
            <w:tcW w:w="1417" w:type="dxa"/>
          </w:tcPr>
          <w:p>
            <w:pPr>
              <w:spacing w:before="21"/>
              <w:ind w:left="6"/>
              <w:jc w:val="center"/>
              <w:rPr>
                <w:rFonts w:ascii="Times New Roman" w:hAnsi="Times New Roman" w:cs="Times New Roman"/>
              </w:rPr>
            </w:pPr>
            <w:r>
              <w:rPr>
                <w:rFonts w:ascii="Times New Roman" w:hAnsi="Times New Roman" w:cs="Times New Roman"/>
              </w:rPr>
              <w:t>0</w:t>
            </w:r>
            <w:r>
              <w:rPr>
                <w:rFonts w:hint="eastAsia" w:ascii="Times New Roman" w:hAnsi="Times New Roman" w:cs="Times New Roman"/>
              </w:rPr>
              <w:t>%</w:t>
            </w:r>
          </w:p>
        </w:tc>
        <w:tc>
          <w:tcPr>
            <w:tcW w:w="3974" w:type="dxa"/>
            <w:gridSpan w:val="3"/>
          </w:tcPr>
          <w:p>
            <w:pPr>
              <w:spacing w:before="21"/>
              <w:ind w:left="1773" w:right="1765"/>
              <w:jc w:val="center"/>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4</w:t>
            </w:r>
            <w:r>
              <w:rPr>
                <w:rFonts w:hint="eastAsia" w:ascii="Times New Roman" w:hAnsi="Times New Roman" w:cs="Times New Roman"/>
              </w:rPr>
              <w:t>%</w:t>
            </w:r>
          </w:p>
        </w:tc>
      </w:tr>
    </w:tbl>
    <w:p>
      <w:pPr>
        <w:tabs>
          <w:tab w:val="left" w:pos="1071"/>
        </w:tabs>
        <w:spacing w:line="54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2.职业发展</w:t>
      </w:r>
    </w:p>
    <w:p>
      <w:pPr>
        <w:tabs>
          <w:tab w:val="left" w:pos="1071"/>
        </w:tabs>
        <w:spacing w:line="540" w:lineRule="exact"/>
        <w:ind w:firstLine="640" w:firstLineChars="200"/>
      </w:pPr>
      <w:r>
        <w:rPr>
          <w:rFonts w:hint="eastAsia" w:ascii="仿宋" w:hAnsi="仿宋" w:eastAsia="仿宋"/>
          <w:sz w:val="32"/>
          <w:szCs w:val="32"/>
          <w:shd w:val="clear" w:color="auto" w:fill="FFFFFF"/>
        </w:rPr>
        <w:t>学校非常重视提高学生的学习能力、岗位适应能力、岗位迁移能力、创新创业能力。开设了职业生涯规划课程，开展一体化教学，突出实训技能，注重工学结合、产教融合，个别专业与企业深度挂钩，采取订单班培养模式，让学生既熟悉掌握专业课的基本原理，又具备企业所需的专业操作技能，此外通过举办职业生涯规划讲座、优秀企业进校园等模式，引导学生自主创业，提高创新创业能力和岗位适应能力。</w:t>
      </w:r>
    </w:p>
    <w:p>
      <w:pPr>
        <w:pStyle w:val="2"/>
        <w:numPr>
          <w:ilvl w:val="0"/>
          <w:numId w:val="1"/>
        </w:numPr>
        <w:spacing w:line="5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校企合作</w:t>
      </w:r>
    </w:p>
    <w:p>
      <w:pPr>
        <w:pStyle w:val="2"/>
        <w:numPr>
          <w:numId w:val="0"/>
        </w:numPr>
        <w:spacing w:line="540" w:lineRule="exact"/>
        <w:ind w:firstLine="440" w:firstLineChars="100"/>
        <w:rPr>
          <w:rFonts w:ascii="Times New Roman" w:hAnsi="Times New Roman" w:eastAsia="楷体_GB2312" w:cs="Times New Roman"/>
          <w:b w:val="0"/>
        </w:rPr>
      </w:pPr>
      <w:r>
        <w:rPr>
          <w:rFonts w:ascii="Times New Roman" w:hAnsi="Times New Roman" w:eastAsia="楷体_GB2312" w:cs="Times New Roman"/>
          <w:b w:val="0"/>
        </w:rPr>
        <w:t>（一）校企合作情况</w:t>
      </w:r>
    </w:p>
    <w:p>
      <w:pPr>
        <w:pStyle w:val="4"/>
        <w:ind w:left="0" w:firstLine="640" w:firstLineChars="200"/>
      </w:pPr>
      <w:r>
        <w:rPr>
          <w:rFonts w:hint="eastAsia" w:ascii="仿宋_GB2312" w:hAnsi="仿宋_GB2312" w:eastAsia="仿宋_GB2312" w:cs="仿宋_GB2312"/>
          <w:sz w:val="32"/>
          <w:szCs w:val="32"/>
        </w:rPr>
        <w:t>学校先后与海尔集团（西南园区）、四川成都天府阳光酒店有限责任公司、四川省自贡运输机械集团股份有限公司、上海三菱电梯、吉利集团（成都）、长沙比亚迪、自贡市盐帮食府餐饮管理有限公司等49家企业签订校企合作协议，其中教师实践基地12个，企业提供的实践教学设备总值约5800万元。</w:t>
      </w:r>
    </w:p>
    <w:p>
      <w:pPr>
        <w:tabs>
          <w:tab w:val="left" w:pos="1071"/>
        </w:tabs>
        <w:spacing w:line="580" w:lineRule="exact"/>
        <w:ind w:firstLine="422" w:firstLineChars="200"/>
        <w:jc w:val="center"/>
        <w:rPr>
          <w:rFonts w:ascii="Times New Roman" w:hAnsi="Times New Roman" w:eastAsia="仿宋_GB2312" w:cs="Times New Roman"/>
          <w:b/>
          <w:szCs w:val="21"/>
        </w:rPr>
      </w:pPr>
      <w:r>
        <w:rPr>
          <w:rFonts w:ascii="Times New Roman" w:hAnsi="Times New Roman" w:eastAsia="仿宋_GB2312" w:cs="Times New Roman"/>
          <w:b/>
          <w:szCs w:val="21"/>
        </w:rPr>
        <w:t>表37 2020-2021年学校校外实训基地统计表</w:t>
      </w:r>
    </w:p>
    <w:tbl>
      <w:tblPr>
        <w:tblStyle w:val="12"/>
        <w:tblW w:w="89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4967"/>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jc w:val="center"/>
        </w:trPr>
        <w:tc>
          <w:tcPr>
            <w:tcW w:w="704" w:type="dxa"/>
            <w:vAlign w:val="center"/>
          </w:tcPr>
          <w:p>
            <w:pPr>
              <w:pStyle w:val="11"/>
              <w:spacing w:before="6" w:line="258" w:lineRule="exact"/>
              <w:ind w:left="120" w:right="109"/>
              <w:jc w:val="center"/>
              <w:rPr>
                <w:rFonts w:ascii="Times New Roman" w:hAnsi="Times New Roman" w:eastAsia="仿宋" w:cs="Times New Roman"/>
                <w:b/>
              </w:rPr>
            </w:pPr>
            <w:r>
              <w:rPr>
                <w:rFonts w:ascii="Times New Roman" w:hAnsi="Times New Roman" w:eastAsia="仿宋" w:cs="Times New Roman"/>
                <w:b/>
              </w:rPr>
              <w:t>序号</w:t>
            </w:r>
          </w:p>
        </w:tc>
        <w:tc>
          <w:tcPr>
            <w:tcW w:w="4967" w:type="dxa"/>
            <w:vAlign w:val="center"/>
          </w:tcPr>
          <w:p>
            <w:pPr>
              <w:pStyle w:val="11"/>
              <w:spacing w:before="6" w:line="258" w:lineRule="exact"/>
              <w:ind w:left="1088" w:right="1075"/>
              <w:jc w:val="center"/>
              <w:rPr>
                <w:rFonts w:ascii="Times New Roman" w:hAnsi="Times New Roman" w:eastAsia="仿宋" w:cs="Times New Roman"/>
                <w:b/>
              </w:rPr>
            </w:pPr>
            <w:r>
              <w:rPr>
                <w:rFonts w:ascii="Times New Roman" w:hAnsi="Times New Roman" w:eastAsia="仿宋" w:cs="Times New Roman"/>
                <w:b/>
              </w:rPr>
              <w:t>校外实训基地名称</w:t>
            </w:r>
          </w:p>
        </w:tc>
        <w:tc>
          <w:tcPr>
            <w:tcW w:w="3260" w:type="dxa"/>
            <w:vAlign w:val="center"/>
          </w:tcPr>
          <w:p>
            <w:pPr>
              <w:pStyle w:val="11"/>
              <w:spacing w:before="6" w:line="258" w:lineRule="exact"/>
              <w:ind w:left="534" w:right="517"/>
              <w:jc w:val="center"/>
              <w:rPr>
                <w:rFonts w:ascii="Times New Roman" w:hAnsi="Times New Roman" w:eastAsia="仿宋" w:cs="Times New Roman"/>
                <w:b/>
              </w:rPr>
            </w:pPr>
            <w:r>
              <w:rPr>
                <w:rFonts w:ascii="Times New Roman" w:hAnsi="Times New Roman" w:eastAsia="仿宋" w:cs="Times New Roman"/>
                <w:b/>
              </w:rPr>
              <w:t>签订协议涉及专业大类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四川川润股份有限公司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中科飞阳科技有限公司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自贡国铨电子有限公司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自贡九天水利机械有限公司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5</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自贡东新电碳有限责任公司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6</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四川省自贡运输机械集团股份有限公司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7</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自贡华商物业有限公司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酒店管理、交通客运服务、机电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8</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凯盛自贡新能源有限公司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9</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四川成都天府阳光酒店有限责任公司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烹饪、酒店管理、交通客运服务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10</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长沙比亚迪校企合作协议</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汽车维修、机电、机械制造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11</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自贡市新望汽车服务有限公司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12</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自贡新嘉诚汽车销售服务有限公司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13</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万达酒店管理（上海）有限公司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烹饪、酒店管理、交通客运服务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14</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海尔集团（西南园区）重庆公司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15</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日立电梯（中国）有限公司（自贡分公司）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16</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深圳市永高实业有限公司（内江洲际滨江假日酒店）</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烹饪、酒店管理、交通客运服务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17</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自贡市盐帮食府餐饮管理有限公司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烹饪、酒店管理、交通客运服务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18</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自贡新苌清汽车服务有限责任公司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19</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四川百信智创科技有限公司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计算机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20</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自贡市安邦精特机械制造有限公司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21</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常州市汽车部品制造有限公司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22</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常州市蓝拓金属制品有限公司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23</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自贡市汇东好利蛋糕经营部</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烹饪、酒店管理、交通客运服务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24</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上海三菱电梯有限公司（自贡分公司）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24</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华夏阀门有限公司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25</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四川凯茨阀门制造有限公司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26</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成都市柴悦餐饮管理有限公司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烹饪、酒店管理、交通客运服务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27</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勤为科技有限公司（自贡分公司）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计算机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28</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广州电盈客服服务技术发展有限公司（重庆分公司）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计算机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29</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自贡市博众汽车维修服务有限责任公司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30</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自贡和为汽车服务有限公司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31</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成都高新豪森大酒店有限公司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烹饪、酒店管理、交通客运服务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32</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成都隆悦盛兴餐饮管理有限公司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烹饪、酒店管理、交通客运服务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33</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四川天味食品股份有限公司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34</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自贡天味食品有限公司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35</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四川东方龙源动力设备公司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36</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中兴耐磨新材料公司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37</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自贡市贡井区贝恩幼儿园</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幼儿教育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38</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自贡市树德汽车服务有限公司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39</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自贡市自高阀门有限公司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40</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自贡市兆强密封制品实业有限公司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41</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自贡市贡井区名星幼儿园</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幼儿教育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42</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贡井区爱森幼稚园</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幼儿教育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43</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昆山德胜精密模具有限公司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44</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昆山科森科技股份有限公司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45</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四川英祥国际大酒店有限公司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烹饪、酒店管理、交通客运服务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46</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自贡市亿嘉汽车销售服务有限公司</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汽车维修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47</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四川领吉汽车制造有限公司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汽车维修、机电、机械制造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48</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自贡华西泵阀制造有限公司</w:t>
            </w:r>
          </w:p>
        </w:tc>
        <w:tc>
          <w:tcPr>
            <w:tcW w:w="3260" w:type="dxa"/>
            <w:vAlign w:val="center"/>
          </w:tcPr>
          <w:p>
            <w:pPr>
              <w:jc w:val="center"/>
              <w:rPr>
                <w:rFonts w:ascii="仿宋" w:hAnsi="仿宋" w:eastAsia="仿宋" w:cs="仿宋"/>
                <w:sz w:val="18"/>
                <w:szCs w:val="18"/>
              </w:rPr>
            </w:pPr>
            <w:r>
              <w:rPr>
                <w:rFonts w:hint="eastAsia" w:ascii="仿宋" w:hAnsi="仿宋" w:eastAsia="仿宋" w:cs="仿宋"/>
                <w:sz w:val="18"/>
                <w:szCs w:val="18"/>
              </w:rPr>
              <w:t>机电、机械制造、计算机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704" w:type="dxa"/>
            <w:vAlign w:val="center"/>
          </w:tcPr>
          <w:p>
            <w:pPr>
              <w:jc w:val="center"/>
              <w:rPr>
                <w:rFonts w:ascii="仿宋" w:hAnsi="仿宋" w:eastAsia="仿宋" w:cs="仿宋"/>
                <w:sz w:val="22"/>
                <w:szCs w:val="22"/>
              </w:rPr>
            </w:pPr>
            <w:r>
              <w:rPr>
                <w:rFonts w:hint="eastAsia" w:ascii="仿宋" w:hAnsi="仿宋" w:eastAsia="仿宋" w:cs="仿宋"/>
                <w:sz w:val="22"/>
                <w:szCs w:val="22"/>
              </w:rPr>
              <w:t>49</w:t>
            </w:r>
          </w:p>
        </w:tc>
        <w:tc>
          <w:tcPr>
            <w:tcW w:w="4967" w:type="dxa"/>
            <w:vAlign w:val="center"/>
          </w:tcPr>
          <w:p>
            <w:pPr>
              <w:widowControl/>
              <w:jc w:val="center"/>
              <w:rPr>
                <w:rFonts w:ascii="仿宋" w:hAnsi="仿宋" w:eastAsia="仿宋" w:cs="仿宋"/>
                <w:kern w:val="0"/>
                <w:sz w:val="22"/>
                <w:szCs w:val="22"/>
              </w:rPr>
            </w:pPr>
            <w:r>
              <w:rPr>
                <w:rFonts w:hint="eastAsia" w:ascii="仿宋" w:hAnsi="仿宋" w:eastAsia="仿宋" w:cs="仿宋"/>
                <w:kern w:val="0"/>
                <w:sz w:val="22"/>
                <w:szCs w:val="22"/>
              </w:rPr>
              <w:t>自贡市汽车维修行业协会</w:t>
            </w:r>
          </w:p>
        </w:tc>
        <w:tc>
          <w:tcPr>
            <w:tcW w:w="3260" w:type="dxa"/>
            <w:vAlign w:val="center"/>
          </w:tcPr>
          <w:p>
            <w:pPr>
              <w:jc w:val="center"/>
              <w:rPr>
                <w:rFonts w:ascii="仿宋" w:hAnsi="仿宋" w:eastAsia="仿宋" w:cs="仿宋"/>
                <w:sz w:val="22"/>
                <w:szCs w:val="22"/>
              </w:rPr>
            </w:pPr>
            <w:r>
              <w:rPr>
                <w:rFonts w:hint="eastAsia" w:ascii="仿宋" w:hAnsi="仿宋" w:eastAsia="仿宋" w:cs="仿宋"/>
                <w:sz w:val="22"/>
                <w:szCs w:val="22"/>
              </w:rPr>
              <w:t>汽车维修</w:t>
            </w:r>
          </w:p>
        </w:tc>
      </w:tr>
    </w:tbl>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（二）学生实习情况</w:t>
      </w:r>
    </w:p>
    <w:p>
      <w:pPr>
        <w:tabs>
          <w:tab w:val="left" w:pos="1071"/>
        </w:tabs>
        <w:spacing w:line="580" w:lineRule="exact"/>
        <w:ind w:firstLine="422" w:firstLineChars="200"/>
        <w:jc w:val="center"/>
        <w:rPr>
          <w:rFonts w:ascii="Times New Roman" w:hAnsi="Times New Roman" w:eastAsia="仿宋" w:cs="Times New Roman"/>
          <w:b/>
        </w:rPr>
      </w:pPr>
      <w:r>
        <w:rPr>
          <w:rFonts w:ascii="Times New Roman" w:hAnsi="Times New Roman" w:eastAsia="仿宋_GB2312" w:cs="Times New Roman"/>
          <w:b/>
          <w:szCs w:val="21"/>
        </w:rPr>
        <w:t>表38 2020-2021年</w:t>
      </w:r>
      <w:r>
        <w:rPr>
          <w:rFonts w:ascii="Times New Roman" w:hAnsi="Times New Roman" w:eastAsia="仿宋" w:cs="Times New Roman"/>
          <w:b/>
        </w:rPr>
        <w:t>学生实习情况一览表</w:t>
      </w:r>
    </w:p>
    <w:tbl>
      <w:tblPr>
        <w:tblStyle w:val="12"/>
        <w:tblW w:w="98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7"/>
        <w:gridCol w:w="1112"/>
        <w:gridCol w:w="1125"/>
        <w:gridCol w:w="1411"/>
        <w:gridCol w:w="1314"/>
        <w:gridCol w:w="1500"/>
        <w:gridCol w:w="1363"/>
        <w:gridCol w:w="1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8" w:hRule="atLeast"/>
          <w:jc w:val="center"/>
        </w:trPr>
        <w:tc>
          <w:tcPr>
            <w:tcW w:w="747"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年度</w:t>
            </w:r>
          </w:p>
        </w:tc>
        <w:tc>
          <w:tcPr>
            <w:tcW w:w="1112"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spacing w:val="-5"/>
              </w:rPr>
              <w:t>顶岗实习</w:t>
            </w:r>
            <w:r>
              <w:rPr>
                <w:rFonts w:ascii="Times New Roman" w:hAnsi="Times New Roman" w:eastAsia="仿宋" w:cs="Times New Roman"/>
                <w:b/>
                <w:spacing w:val="-5"/>
                <w:w w:val="95"/>
              </w:rPr>
              <w:t>学生总数</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w w:val="95"/>
              </w:rPr>
              <w:t>（个）</w:t>
            </w:r>
          </w:p>
        </w:tc>
        <w:tc>
          <w:tcPr>
            <w:tcW w:w="1125"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购买实习保险学生人数</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（个）</w:t>
            </w:r>
          </w:p>
        </w:tc>
        <w:tc>
          <w:tcPr>
            <w:tcW w:w="1411"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购买保险</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险种名称</w:t>
            </w:r>
          </w:p>
        </w:tc>
        <w:tc>
          <w:tcPr>
            <w:tcW w:w="1314"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省内顶岗实习学生人数</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（个）</w:t>
            </w:r>
          </w:p>
        </w:tc>
        <w:tc>
          <w:tcPr>
            <w:tcW w:w="1500"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省外顶岗实习</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学生人数</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（个）</w:t>
            </w:r>
          </w:p>
        </w:tc>
        <w:tc>
          <w:tcPr>
            <w:tcW w:w="1363"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学生顶岗实习平均时长</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（天）</w:t>
            </w:r>
          </w:p>
        </w:tc>
        <w:tc>
          <w:tcPr>
            <w:tcW w:w="1314"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顶岗实习岗位与专业匹配度</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w:t>
            </w:r>
            <w:r>
              <w:rPr>
                <w:rFonts w:ascii="Times New Roman" w:hAnsi="Times New Roman" w:cs="Times New Roman"/>
                <w:b/>
              </w:rPr>
              <w:t>%</w:t>
            </w:r>
            <w:r>
              <w:rPr>
                <w:rFonts w:ascii="Times New Roman" w:hAnsi="Times New Roman" w:eastAsia="仿宋" w:cs="Times New Roman"/>
                <w:b/>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747" w:type="dxa"/>
          </w:tcPr>
          <w:p>
            <w:pPr>
              <w:pStyle w:val="11"/>
              <w:spacing w:before="150"/>
              <w:ind w:left="141" w:right="133"/>
              <w:rPr>
                <w:rFonts w:ascii="Times New Roman" w:hAnsi="Times New Roman" w:cs="Times New Roman"/>
              </w:rPr>
            </w:pPr>
            <w:r>
              <w:rPr>
                <w:rFonts w:ascii="Times New Roman" w:hAnsi="Times New Roman" w:cs="Times New Roman"/>
              </w:rPr>
              <w:t>2020</w:t>
            </w:r>
          </w:p>
        </w:tc>
        <w:tc>
          <w:tcPr>
            <w:tcW w:w="1112" w:type="dxa"/>
            <w:vAlign w:val="center"/>
          </w:tcPr>
          <w:p>
            <w:pPr>
              <w:spacing w:before="150"/>
              <w:ind w:right="369"/>
              <w:jc w:val="center"/>
              <w:rPr>
                <w:rFonts w:ascii="Times New Roman" w:hAnsi="Times New Roman" w:cs="Times New Roman"/>
              </w:rPr>
            </w:pPr>
            <w:r>
              <w:rPr>
                <w:rFonts w:hint="eastAsia" w:ascii="Times New Roman" w:hAnsi="Times New Roman" w:cs="Times New Roman"/>
              </w:rPr>
              <w:t>286</w:t>
            </w:r>
          </w:p>
        </w:tc>
        <w:tc>
          <w:tcPr>
            <w:tcW w:w="1125" w:type="dxa"/>
            <w:vAlign w:val="center"/>
          </w:tcPr>
          <w:p>
            <w:pPr>
              <w:spacing w:before="150"/>
              <w:ind w:left="13" w:right="4"/>
              <w:jc w:val="center"/>
              <w:rPr>
                <w:rFonts w:ascii="Times New Roman" w:hAnsi="Times New Roman" w:cs="Times New Roman"/>
              </w:rPr>
            </w:pPr>
            <w:r>
              <w:rPr>
                <w:rFonts w:hint="eastAsia" w:ascii="Times New Roman" w:hAnsi="Times New Roman" w:cs="Times New Roman"/>
              </w:rPr>
              <w:t>286</w:t>
            </w:r>
          </w:p>
        </w:tc>
        <w:tc>
          <w:tcPr>
            <w:tcW w:w="1411" w:type="dxa"/>
            <w:vAlign w:val="center"/>
          </w:tcPr>
          <w:p>
            <w:pPr>
              <w:spacing w:before="150"/>
              <w:ind w:right="573"/>
              <w:jc w:val="right"/>
              <w:rPr>
                <w:rFonts w:ascii="Times New Roman" w:hAnsi="Times New Roman" w:eastAsia="仿宋_GB2312" w:cs="Times New Roman"/>
                <w:szCs w:val="21"/>
              </w:rPr>
            </w:pPr>
            <w:r>
              <w:rPr>
                <w:rFonts w:hint="eastAsia" w:ascii="Times New Roman" w:hAnsi="Times New Roman" w:eastAsia="仿宋_GB2312" w:cs="Times New Roman"/>
                <w:szCs w:val="21"/>
              </w:rPr>
              <w:t>职业院校学生实习责任保险</w:t>
            </w:r>
          </w:p>
        </w:tc>
        <w:tc>
          <w:tcPr>
            <w:tcW w:w="1314" w:type="dxa"/>
          </w:tcPr>
          <w:p>
            <w:pPr>
              <w:spacing w:before="150"/>
              <w:ind w:right="573"/>
              <w:jc w:val="right"/>
              <w:rPr>
                <w:rFonts w:ascii="Times New Roman" w:hAnsi="Times New Roman" w:cs="Times New Roman"/>
              </w:rPr>
            </w:pPr>
            <w:r>
              <w:rPr>
                <w:rFonts w:hint="eastAsia" w:ascii="Times New Roman" w:hAnsi="Times New Roman" w:eastAsia="仿宋_GB2312" w:cs="Times New Roman"/>
                <w:szCs w:val="21"/>
              </w:rPr>
              <w:t>159</w:t>
            </w:r>
          </w:p>
        </w:tc>
        <w:tc>
          <w:tcPr>
            <w:tcW w:w="1500" w:type="dxa"/>
          </w:tcPr>
          <w:p>
            <w:pPr>
              <w:spacing w:before="150"/>
              <w:ind w:right="633"/>
              <w:jc w:val="right"/>
              <w:rPr>
                <w:rFonts w:ascii="Times New Roman" w:hAnsi="Times New Roman" w:cs="Times New Roman"/>
              </w:rPr>
            </w:pPr>
            <w:r>
              <w:rPr>
                <w:rFonts w:hint="eastAsia" w:ascii="Times New Roman" w:hAnsi="Times New Roman" w:eastAsia="仿宋_GB2312" w:cs="Times New Roman"/>
                <w:szCs w:val="21"/>
              </w:rPr>
              <w:t>127</w:t>
            </w:r>
          </w:p>
        </w:tc>
        <w:tc>
          <w:tcPr>
            <w:tcW w:w="1363" w:type="dxa"/>
            <w:vAlign w:val="center"/>
          </w:tcPr>
          <w:p>
            <w:pPr>
              <w:spacing w:before="150"/>
              <w:ind w:left="523"/>
              <w:jc w:val="center"/>
              <w:rPr>
                <w:rFonts w:ascii="Times New Roman" w:hAnsi="Times New Roman" w:cs="Times New Roman"/>
              </w:rPr>
            </w:pPr>
            <w:r>
              <w:rPr>
                <w:rFonts w:hint="eastAsia" w:ascii="Times New Roman" w:hAnsi="Times New Roman" w:cs="Times New Roman"/>
              </w:rPr>
              <w:t>8</w:t>
            </w:r>
          </w:p>
        </w:tc>
        <w:tc>
          <w:tcPr>
            <w:tcW w:w="1314" w:type="dxa"/>
            <w:vAlign w:val="center"/>
          </w:tcPr>
          <w:p>
            <w:pPr>
              <w:spacing w:before="150"/>
              <w:ind w:left="108" w:right="99"/>
              <w:jc w:val="center"/>
              <w:rPr>
                <w:rFonts w:ascii="Times New Roman" w:hAnsi="Times New Roman" w:cs="Times New Roman"/>
              </w:rPr>
            </w:pPr>
            <w:r>
              <w:rPr>
                <w:rFonts w:hint="eastAsia" w:ascii="Times New Roman" w:hAnsi="Times New Roman" w:cs="Times New Roman"/>
              </w:rPr>
              <w:t>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747" w:type="dxa"/>
          </w:tcPr>
          <w:p>
            <w:pPr>
              <w:pStyle w:val="11"/>
              <w:spacing w:before="152"/>
              <w:ind w:left="141" w:right="133"/>
              <w:rPr>
                <w:rFonts w:ascii="Times New Roman" w:hAnsi="Times New Roman" w:cs="Times New Roman"/>
              </w:rPr>
            </w:pPr>
            <w:r>
              <w:rPr>
                <w:rFonts w:ascii="Times New Roman" w:hAnsi="Times New Roman" w:cs="Times New Roman"/>
              </w:rPr>
              <w:t>2021</w:t>
            </w:r>
          </w:p>
        </w:tc>
        <w:tc>
          <w:tcPr>
            <w:tcW w:w="1112" w:type="dxa"/>
            <w:vAlign w:val="center"/>
          </w:tcPr>
          <w:p>
            <w:pPr>
              <w:spacing w:before="152"/>
              <w:ind w:right="369"/>
              <w:jc w:val="center"/>
              <w:rPr>
                <w:rFonts w:ascii="Times New Roman" w:hAnsi="Times New Roman" w:cs="Times New Roman"/>
              </w:rPr>
            </w:pPr>
            <w:r>
              <w:rPr>
                <w:rFonts w:hint="eastAsia" w:ascii="Times New Roman" w:hAnsi="Times New Roman" w:cs="Times New Roman"/>
              </w:rPr>
              <w:t>308</w:t>
            </w:r>
          </w:p>
        </w:tc>
        <w:tc>
          <w:tcPr>
            <w:tcW w:w="1125" w:type="dxa"/>
            <w:vAlign w:val="center"/>
          </w:tcPr>
          <w:p>
            <w:pPr>
              <w:spacing w:before="152"/>
              <w:ind w:left="13" w:right="4"/>
              <w:jc w:val="center"/>
              <w:rPr>
                <w:rFonts w:ascii="Times New Roman" w:hAnsi="Times New Roman" w:cs="Times New Roman"/>
              </w:rPr>
            </w:pPr>
            <w:r>
              <w:rPr>
                <w:rFonts w:hint="eastAsia" w:ascii="Times New Roman" w:hAnsi="Times New Roman" w:cs="Times New Roman"/>
              </w:rPr>
              <w:t>308</w:t>
            </w:r>
          </w:p>
        </w:tc>
        <w:tc>
          <w:tcPr>
            <w:tcW w:w="1411" w:type="dxa"/>
            <w:vAlign w:val="center"/>
          </w:tcPr>
          <w:p>
            <w:pPr>
              <w:spacing w:before="150"/>
              <w:ind w:right="573"/>
              <w:jc w:val="right"/>
              <w:rPr>
                <w:rFonts w:ascii="Times New Roman" w:hAnsi="Times New Roman" w:eastAsia="仿宋_GB2312" w:cs="Times New Roman"/>
                <w:szCs w:val="21"/>
              </w:rPr>
            </w:pPr>
            <w:r>
              <w:rPr>
                <w:rFonts w:hint="eastAsia" w:ascii="Times New Roman" w:hAnsi="Times New Roman" w:eastAsia="仿宋_GB2312" w:cs="Times New Roman"/>
                <w:szCs w:val="21"/>
              </w:rPr>
              <w:t>职业院校学生实习责任保险</w:t>
            </w:r>
          </w:p>
        </w:tc>
        <w:tc>
          <w:tcPr>
            <w:tcW w:w="1314" w:type="dxa"/>
          </w:tcPr>
          <w:p>
            <w:pPr>
              <w:spacing w:before="152"/>
              <w:ind w:right="573"/>
              <w:jc w:val="right"/>
              <w:rPr>
                <w:rFonts w:ascii="Times New Roman" w:hAnsi="Times New Roman" w:cs="Times New Roman"/>
              </w:rPr>
            </w:pPr>
            <w:r>
              <w:rPr>
                <w:rFonts w:hint="eastAsia" w:ascii="Times New Roman" w:hAnsi="Times New Roman" w:eastAsia="仿宋_GB2312" w:cs="Times New Roman"/>
                <w:szCs w:val="21"/>
              </w:rPr>
              <w:t>143</w:t>
            </w:r>
          </w:p>
        </w:tc>
        <w:tc>
          <w:tcPr>
            <w:tcW w:w="1500" w:type="dxa"/>
          </w:tcPr>
          <w:p>
            <w:pPr>
              <w:spacing w:before="152"/>
              <w:ind w:right="581"/>
              <w:jc w:val="right"/>
              <w:rPr>
                <w:rFonts w:ascii="Times New Roman" w:hAnsi="Times New Roman" w:cs="Times New Roman"/>
              </w:rPr>
            </w:pPr>
            <w:r>
              <w:rPr>
                <w:rFonts w:hint="eastAsia" w:ascii="Times New Roman" w:hAnsi="Times New Roman" w:eastAsia="仿宋_GB2312" w:cs="Times New Roman"/>
                <w:szCs w:val="21"/>
              </w:rPr>
              <w:t>165</w:t>
            </w:r>
          </w:p>
        </w:tc>
        <w:tc>
          <w:tcPr>
            <w:tcW w:w="1363" w:type="dxa"/>
            <w:vAlign w:val="center"/>
          </w:tcPr>
          <w:p>
            <w:pPr>
              <w:spacing w:before="152"/>
              <w:ind w:left="576"/>
              <w:jc w:val="center"/>
              <w:rPr>
                <w:rFonts w:ascii="Times New Roman" w:hAnsi="Times New Roman" w:cs="Times New Roman"/>
              </w:rPr>
            </w:pPr>
            <w:r>
              <w:rPr>
                <w:rFonts w:hint="eastAsia" w:ascii="Times New Roman" w:hAnsi="Times New Roman" w:cs="Times New Roman"/>
              </w:rPr>
              <w:t>8</w:t>
            </w:r>
          </w:p>
        </w:tc>
        <w:tc>
          <w:tcPr>
            <w:tcW w:w="1314" w:type="dxa"/>
            <w:vAlign w:val="center"/>
          </w:tcPr>
          <w:p>
            <w:pPr>
              <w:spacing w:before="152"/>
              <w:ind w:left="108" w:right="99"/>
              <w:jc w:val="center"/>
              <w:rPr>
                <w:rFonts w:ascii="Times New Roman" w:hAnsi="Times New Roman" w:cs="Times New Roman"/>
              </w:rPr>
            </w:pPr>
            <w:r>
              <w:rPr>
                <w:rFonts w:hint="eastAsia" w:ascii="Times New Roman" w:hAnsi="Times New Roman" w:cs="Times New Roman"/>
              </w:rPr>
              <w:t>79.3</w:t>
            </w:r>
          </w:p>
        </w:tc>
      </w:tr>
    </w:tbl>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（三）集团化办学情况</w:t>
      </w:r>
    </w:p>
    <w:p>
      <w:pPr>
        <w:pStyle w:val="4"/>
        <w:ind w:left="0" w:firstLine="640" w:firstLineChars="200"/>
      </w:pPr>
      <w:r>
        <w:rPr>
          <w:rFonts w:hint="eastAsia" w:ascii="Times New Roman" w:hAnsi="仿宋_GB2312" w:eastAsia="仿宋_GB2312" w:cs="Times New Roman"/>
          <w:sz w:val="32"/>
        </w:rPr>
        <w:t>2019年12月在自贡市教育和体育局、自贡市人力资源和社会保障局的指导下，由学校牵头组建了自贡市产教联盟。联盟企业包括四川百信智创科技有限公司、自贡市中兴耐磨新材料有限公司、四川友华科技集团有限公司、自贡国铨电子有限公司、勤为科技有限公司、四川川润股份有限公司等6家企业。2020-2021年引入万邦远洋企业管理有限公司、四川至圣合教育科技有限公司、自贡市晨熙教育咨询有限公司参与学校的专业设置、招生、实训教学、实习及相关管理，目前与9家企业正在洽谈联合培养人才事宜。</w:t>
      </w:r>
    </w:p>
    <w:p>
      <w:pPr>
        <w:pStyle w:val="2"/>
        <w:spacing w:line="580" w:lineRule="exact"/>
        <w:ind w:firstLine="640" w:firstLineChars="200"/>
        <w:rPr>
          <w:rFonts w:hint="eastAsia" w:ascii="Times New Roman" w:hAnsi="Times New Roman" w:eastAsia="黑体" w:cs="Times New Roman"/>
          <w:color w:val="FF0000"/>
          <w:sz w:val="32"/>
          <w:szCs w:val="32"/>
          <w:lang w:eastAsia="zh-CN"/>
        </w:rPr>
      </w:pPr>
      <w:r>
        <w:rPr>
          <w:rFonts w:ascii="Times New Roman" w:hAnsi="Times New Roman" w:eastAsia="黑体" w:cs="Times New Roman"/>
          <w:sz w:val="32"/>
          <w:szCs w:val="32"/>
        </w:rPr>
        <w:t>八、社会服务</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（一）培训服务</w:t>
      </w:r>
    </w:p>
    <w:p>
      <w:pPr>
        <w:tabs>
          <w:tab w:val="left" w:pos="1071"/>
        </w:tabs>
        <w:spacing w:line="580" w:lineRule="exact"/>
        <w:ind w:firstLine="643" w:firstLineChars="200"/>
        <w:rPr>
          <w:rFonts w:ascii="Times New Roman" w:hAnsi="Times New Roman" w:eastAsia="仿宋_GB2312" w:cs="Times New Roman"/>
          <w:b/>
          <w:sz w:val="32"/>
        </w:rPr>
      </w:pPr>
      <w:r>
        <w:rPr>
          <w:rFonts w:ascii="Times New Roman" w:hAnsi="Times New Roman" w:eastAsia="仿宋_GB2312" w:cs="Times New Roman"/>
          <w:b/>
          <w:sz w:val="32"/>
        </w:rPr>
        <w:t>1.培养培训技能人才</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学校</w:t>
      </w:r>
      <w:r>
        <w:rPr>
          <w:rFonts w:hint="eastAsia" w:ascii="Times New Roman" w:hAnsi="Times New Roman" w:eastAsia="仿宋_GB2312" w:cs="Times New Roman"/>
          <w:sz w:val="32"/>
        </w:rPr>
        <w:t>积极</w:t>
      </w:r>
      <w:r>
        <w:rPr>
          <w:rFonts w:ascii="Times New Roman" w:hAnsi="Times New Roman" w:eastAsia="仿宋_GB2312" w:cs="Times New Roman"/>
          <w:sz w:val="32"/>
        </w:rPr>
        <w:t>参与职业技能提升</w:t>
      </w:r>
      <w:r>
        <w:rPr>
          <w:rFonts w:hint="eastAsia" w:ascii="Times New Roman" w:hAnsi="Times New Roman" w:eastAsia="仿宋_GB2312" w:cs="Times New Roman"/>
          <w:sz w:val="32"/>
        </w:rPr>
        <w:t>行动和新型学徒制培训，</w:t>
      </w:r>
      <w:r>
        <w:rPr>
          <w:rFonts w:ascii="Times New Roman" w:hAnsi="Times New Roman" w:eastAsia="仿宋_GB2312" w:cs="Times New Roman"/>
          <w:sz w:val="32"/>
        </w:rPr>
        <w:t>面向企业职工</w:t>
      </w:r>
      <w:r>
        <w:rPr>
          <w:rFonts w:hint="eastAsia" w:ascii="Times New Roman" w:hAnsi="Times New Roman" w:eastAsia="仿宋_GB2312" w:cs="Times New Roman"/>
          <w:sz w:val="32"/>
        </w:rPr>
        <w:t>、机关事业单位工人、建档立卡户和农民等</w:t>
      </w:r>
      <w:r>
        <w:rPr>
          <w:rFonts w:ascii="Times New Roman" w:hAnsi="Times New Roman" w:eastAsia="仿宋_GB2312" w:cs="Times New Roman"/>
          <w:sz w:val="32"/>
        </w:rPr>
        <w:t>就业重点群体开展职业技能培训</w:t>
      </w:r>
      <w:r>
        <w:rPr>
          <w:rFonts w:hint="eastAsia" w:ascii="Times New Roman" w:hAnsi="Times New Roman" w:eastAsia="仿宋_GB2312" w:cs="Times New Roman"/>
          <w:sz w:val="32"/>
        </w:rPr>
        <w:t>，2020年各类培训共1104人，2021年各类培训共1052人。</w:t>
      </w:r>
    </w:p>
    <w:p>
      <w:pPr>
        <w:tabs>
          <w:tab w:val="left" w:pos="683"/>
        </w:tabs>
        <w:spacing w:after="24" w:line="258" w:lineRule="exact"/>
        <w:ind w:right="12"/>
        <w:jc w:val="center"/>
        <w:rPr>
          <w:rFonts w:ascii="Times New Roman" w:hAnsi="Times New Roman" w:eastAsia="仿宋" w:cs="Times New Roman"/>
          <w:b/>
        </w:rPr>
      </w:pPr>
      <w:r>
        <w:rPr>
          <w:rFonts w:ascii="Times New Roman" w:hAnsi="Times New Roman" w:eastAsia="仿宋" w:cs="Times New Roman"/>
          <w:b/>
        </w:rPr>
        <w:t>表</w:t>
      </w:r>
      <w:r>
        <w:rPr>
          <w:rFonts w:ascii="Times New Roman" w:hAnsi="Times New Roman" w:eastAsia="Times New Roman" w:cs="Times New Roman"/>
          <w:b/>
        </w:rPr>
        <w:t>39 2020</w:t>
      </w:r>
      <w:r>
        <w:rPr>
          <w:rFonts w:ascii="Times New Roman" w:hAnsi="Times New Roman" w:cs="Times New Roman"/>
          <w:b/>
        </w:rPr>
        <w:t>-2021</w:t>
      </w:r>
      <w:r>
        <w:rPr>
          <w:rFonts w:ascii="Times New Roman" w:hAnsi="Times New Roman" w:eastAsia="仿宋" w:cs="Times New Roman"/>
          <w:b/>
        </w:rPr>
        <w:t>年社会培训及服务统计表</w:t>
      </w:r>
    </w:p>
    <w:tbl>
      <w:tblPr>
        <w:tblStyle w:val="12"/>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1843"/>
        <w:gridCol w:w="1587"/>
        <w:gridCol w:w="1418"/>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106" w:type="dxa"/>
            <w:tcBorders>
              <w:bottom w:val="single" w:color="auto" w:sz="4" w:space="0"/>
            </w:tcBorders>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年度</w:t>
            </w:r>
          </w:p>
        </w:tc>
        <w:tc>
          <w:tcPr>
            <w:tcW w:w="1843"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承担社会培训项目</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名称</w:t>
            </w:r>
          </w:p>
        </w:tc>
        <w:tc>
          <w:tcPr>
            <w:tcW w:w="1587" w:type="dxa"/>
            <w:tcBorders>
              <w:bottom w:val="single" w:color="auto" w:sz="4" w:space="0"/>
            </w:tcBorders>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项目来源</w:t>
            </w:r>
          </w:p>
        </w:tc>
        <w:tc>
          <w:tcPr>
            <w:tcW w:w="1418" w:type="dxa"/>
            <w:tcBorders>
              <w:bottom w:val="single" w:color="auto" w:sz="4" w:space="0"/>
            </w:tcBorders>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性质</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（公益</w:t>
            </w:r>
            <w:r>
              <w:rPr>
                <w:rFonts w:ascii="Times New Roman" w:hAnsi="Times New Roman" w:cs="Times New Roman"/>
                <w:b/>
              </w:rPr>
              <w:t>/</w:t>
            </w:r>
            <w:r>
              <w:rPr>
                <w:rFonts w:ascii="Times New Roman" w:hAnsi="Times New Roman" w:eastAsia="仿宋" w:cs="Times New Roman"/>
                <w:b/>
              </w:rPr>
              <w:t>有偿）</w:t>
            </w:r>
          </w:p>
        </w:tc>
        <w:tc>
          <w:tcPr>
            <w:tcW w:w="1134"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培训人数</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（人）</w:t>
            </w:r>
          </w:p>
        </w:tc>
        <w:tc>
          <w:tcPr>
            <w:tcW w:w="1134" w:type="dxa"/>
            <w:tcBorders>
              <w:bottom w:val="single" w:color="auto" w:sz="4" w:space="0"/>
            </w:tcBorders>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培训天数</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（天）</w:t>
            </w:r>
          </w:p>
        </w:tc>
        <w:tc>
          <w:tcPr>
            <w:tcW w:w="1134"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培训形式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64" w:hRule="atLeast"/>
        </w:trPr>
        <w:tc>
          <w:tcPr>
            <w:tcW w:w="1106" w:type="dxa"/>
            <w:vMerge w:val="restart"/>
            <w:tcBorders>
              <w:top w:val="single" w:color="auto" w:sz="4" w:space="0"/>
              <w:left w:val="single" w:color="auto" w:sz="4" w:space="0"/>
              <w:right w:val="single" w:color="auto" w:sz="4" w:space="0"/>
            </w:tcBorders>
          </w:tcPr>
          <w:p>
            <w:pPr>
              <w:spacing w:before="137"/>
              <w:rPr>
                <w:rFonts w:ascii="Times New Roman" w:hAnsi="Times New Roman" w:eastAsia="仿宋" w:cs="Times New Roman"/>
              </w:rPr>
            </w:pPr>
          </w:p>
          <w:p>
            <w:pPr>
              <w:spacing w:before="137"/>
              <w:rPr>
                <w:rFonts w:ascii="Times New Roman" w:hAnsi="Times New Roman" w:eastAsia="仿宋" w:cs="Times New Roman"/>
              </w:rPr>
            </w:pPr>
          </w:p>
          <w:p>
            <w:pPr>
              <w:spacing w:before="137"/>
              <w:rPr>
                <w:rFonts w:ascii="Times New Roman" w:hAnsi="Times New Roman" w:eastAsia="仿宋" w:cs="Times New Roman"/>
              </w:rPr>
            </w:pPr>
          </w:p>
          <w:p>
            <w:pPr>
              <w:spacing w:before="137"/>
              <w:rPr>
                <w:rFonts w:ascii="Times New Roman" w:hAnsi="Times New Roman" w:eastAsia="仿宋" w:cs="Times New Roman"/>
              </w:rPr>
            </w:pPr>
            <w:r>
              <w:rPr>
                <w:rFonts w:hint="eastAsia" w:ascii="Times New Roman" w:hAnsi="Times New Roman" w:eastAsia="仿宋" w:cs="Times New Roman"/>
              </w:rPr>
              <w:t>2019-2020</w:t>
            </w:r>
          </w:p>
        </w:tc>
        <w:tc>
          <w:tcPr>
            <w:tcW w:w="1843" w:type="dxa"/>
            <w:tcBorders>
              <w:left w:val="single" w:color="auto" w:sz="4" w:space="0"/>
              <w:bottom w:val="single" w:color="auto" w:sz="4" w:space="0"/>
              <w:right w:val="single" w:color="auto" w:sz="4" w:space="0"/>
            </w:tcBorders>
            <w:noWrap/>
          </w:tcPr>
          <w:p>
            <w:pPr>
              <w:spacing w:before="137" w:line="320" w:lineRule="exact"/>
              <w:rPr>
                <w:rFonts w:ascii="Times New Roman" w:hAnsi="Times New Roman" w:eastAsia="仿宋" w:cs="Times New Roman"/>
              </w:rPr>
            </w:pPr>
            <w:r>
              <w:rPr>
                <w:rFonts w:hint="eastAsia" w:ascii="Times New Roman" w:hAnsi="Times New Roman" w:eastAsia="仿宋" w:cs="Times New Roman"/>
              </w:rPr>
              <w:t>机关“工考”</w:t>
            </w:r>
          </w:p>
        </w:tc>
        <w:tc>
          <w:tcPr>
            <w:tcW w:w="1587" w:type="dxa"/>
            <w:tcBorders>
              <w:top w:val="single" w:color="auto" w:sz="4" w:space="0"/>
              <w:left w:val="single" w:color="auto" w:sz="4" w:space="0"/>
              <w:bottom w:val="single" w:color="auto" w:sz="4" w:space="0"/>
              <w:right w:val="single" w:color="auto" w:sz="4" w:space="0"/>
            </w:tcBorders>
            <w:noWrap/>
          </w:tcPr>
          <w:p>
            <w:pPr>
              <w:spacing w:before="137" w:line="320" w:lineRule="exact"/>
              <w:rPr>
                <w:rFonts w:ascii="Times New Roman" w:hAnsi="Times New Roman" w:eastAsia="仿宋" w:cs="Times New Roman"/>
              </w:rPr>
            </w:pPr>
            <w:r>
              <w:rPr>
                <w:rFonts w:hint="eastAsia" w:ascii="Times New Roman" w:hAnsi="Times New Roman" w:eastAsia="仿宋" w:cs="Times New Roman"/>
              </w:rPr>
              <w:t>人社局</w:t>
            </w:r>
          </w:p>
        </w:tc>
        <w:tc>
          <w:tcPr>
            <w:tcW w:w="1418" w:type="dxa"/>
            <w:tcBorders>
              <w:top w:val="single" w:color="auto" w:sz="4" w:space="0"/>
              <w:left w:val="single" w:color="auto" w:sz="4" w:space="0"/>
              <w:bottom w:val="single" w:color="auto" w:sz="4" w:space="0"/>
              <w:right w:val="single" w:color="auto" w:sz="4" w:space="0"/>
            </w:tcBorders>
            <w:noWrap/>
          </w:tcPr>
          <w:p>
            <w:pPr>
              <w:spacing w:before="137" w:line="320" w:lineRule="exact"/>
              <w:rPr>
                <w:rFonts w:ascii="Times New Roman" w:hAnsi="Times New Roman" w:eastAsia="仿宋" w:cs="Times New Roman"/>
              </w:rPr>
            </w:pPr>
            <w:r>
              <w:rPr>
                <w:rFonts w:ascii="Times New Roman" w:hAnsi="Times New Roman" w:eastAsia="仿宋" w:cs="Times New Roman"/>
              </w:rPr>
              <w:t>有偿</w:t>
            </w:r>
          </w:p>
        </w:tc>
        <w:tc>
          <w:tcPr>
            <w:tcW w:w="1134" w:type="dxa"/>
            <w:tcBorders>
              <w:left w:val="single" w:color="auto" w:sz="4" w:space="0"/>
              <w:bottom w:val="single" w:color="auto" w:sz="4" w:space="0"/>
              <w:right w:val="single" w:color="auto" w:sz="4" w:space="0"/>
            </w:tcBorders>
            <w:noWrap/>
          </w:tcPr>
          <w:p>
            <w:pPr>
              <w:spacing w:before="137" w:line="320" w:lineRule="exact"/>
              <w:rPr>
                <w:rFonts w:ascii="Times New Roman" w:hAnsi="Times New Roman" w:eastAsia="仿宋" w:cs="Times New Roman"/>
              </w:rPr>
            </w:pPr>
            <w:r>
              <w:rPr>
                <w:rFonts w:hint="eastAsia" w:ascii="Times New Roman" w:hAnsi="Times New Roman" w:eastAsia="仿宋" w:cs="Times New Roman"/>
              </w:rPr>
              <w:t>352</w:t>
            </w:r>
          </w:p>
        </w:tc>
        <w:tc>
          <w:tcPr>
            <w:tcW w:w="1134" w:type="dxa"/>
            <w:tcBorders>
              <w:top w:val="single" w:color="auto" w:sz="4" w:space="0"/>
              <w:left w:val="single" w:color="auto" w:sz="4" w:space="0"/>
              <w:bottom w:val="single" w:color="auto" w:sz="4" w:space="0"/>
              <w:right w:val="single" w:color="auto" w:sz="4" w:space="0"/>
            </w:tcBorders>
            <w:noWrap/>
          </w:tcPr>
          <w:p>
            <w:pPr>
              <w:spacing w:before="137" w:line="320" w:lineRule="exact"/>
              <w:rPr>
                <w:rFonts w:ascii="Times New Roman" w:hAnsi="Times New Roman" w:eastAsia="仿宋" w:cs="Times New Roman"/>
              </w:rPr>
            </w:pPr>
            <w:r>
              <w:rPr>
                <w:rFonts w:hint="eastAsia" w:ascii="Times New Roman" w:hAnsi="Times New Roman" w:eastAsia="仿宋" w:cs="Times New Roman"/>
              </w:rPr>
              <w:t>120</w:t>
            </w:r>
          </w:p>
        </w:tc>
        <w:tc>
          <w:tcPr>
            <w:tcW w:w="1134" w:type="dxa"/>
            <w:tcBorders>
              <w:left w:val="single" w:color="auto" w:sz="4" w:space="0"/>
              <w:bottom w:val="single" w:color="auto" w:sz="4" w:space="0"/>
            </w:tcBorders>
            <w:noWrap/>
          </w:tcPr>
          <w:p>
            <w:pPr>
              <w:spacing w:before="137" w:line="320" w:lineRule="exact"/>
              <w:rPr>
                <w:rFonts w:ascii="Times New Roman" w:hAnsi="Times New Roman" w:eastAsia="仿宋" w:cs="Times New Roman"/>
              </w:rPr>
            </w:pPr>
            <w:r>
              <w:rPr>
                <w:rFonts w:hint="eastAsia" w:ascii="Times New Roman" w:hAnsi="Times New Roman" w:eastAsia="仿宋" w:cs="Times New Roman"/>
              </w:rPr>
              <w:t>线下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106" w:type="dxa"/>
            <w:vMerge w:val="continue"/>
            <w:tcBorders>
              <w:left w:val="single" w:color="auto" w:sz="4" w:space="0"/>
              <w:right w:val="single" w:color="auto" w:sz="4" w:space="0"/>
            </w:tcBorders>
          </w:tcPr>
          <w:p>
            <w:pPr>
              <w:spacing w:before="137"/>
              <w:rPr>
                <w:rFonts w:ascii="Times New Roman" w:hAnsi="Times New Roman" w:eastAsia="仿宋" w:cs="Times New Roman"/>
              </w:rPr>
            </w:pPr>
          </w:p>
        </w:tc>
        <w:tc>
          <w:tcPr>
            <w:tcW w:w="1843" w:type="dxa"/>
            <w:tcBorders>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技能提升</w:t>
            </w:r>
          </w:p>
        </w:tc>
        <w:tc>
          <w:tcPr>
            <w:tcW w:w="1587"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企业</w:t>
            </w:r>
          </w:p>
        </w:tc>
        <w:tc>
          <w:tcPr>
            <w:tcW w:w="1418" w:type="dxa"/>
            <w:tcBorders>
              <w:top w:val="single" w:color="auto" w:sz="4" w:space="0"/>
              <w:left w:val="single" w:color="auto" w:sz="4" w:space="0"/>
              <w:bottom w:val="single" w:color="auto" w:sz="4" w:space="0"/>
              <w:right w:val="single" w:color="auto" w:sz="4" w:space="0"/>
            </w:tcBorders>
          </w:tcPr>
          <w:p>
            <w:r>
              <w:rPr>
                <w:rFonts w:hint="eastAsia" w:ascii="Times New Roman" w:hAnsi="Times New Roman" w:eastAsia="仿宋" w:cs="Times New Roman"/>
              </w:rPr>
              <w:t>公益</w:t>
            </w:r>
          </w:p>
        </w:tc>
        <w:tc>
          <w:tcPr>
            <w:tcW w:w="1134" w:type="dxa"/>
            <w:tcBorders>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508</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180</w:t>
            </w:r>
          </w:p>
        </w:tc>
        <w:tc>
          <w:tcPr>
            <w:tcW w:w="1134" w:type="dxa"/>
            <w:tcBorders>
              <w:left w:val="single" w:color="auto" w:sz="4" w:space="0"/>
              <w:bottom w:val="single" w:color="auto" w:sz="4" w:space="0"/>
            </w:tcBorders>
          </w:tcPr>
          <w:p>
            <w:r>
              <w:rPr>
                <w:rFonts w:hint="eastAsia" w:ascii="Times New Roman" w:hAnsi="Times New Roman" w:eastAsia="仿宋" w:cs="Times New Roman"/>
              </w:rPr>
              <w:t>线下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106" w:type="dxa"/>
            <w:vMerge w:val="continue"/>
            <w:tcBorders>
              <w:left w:val="single" w:color="auto" w:sz="4" w:space="0"/>
              <w:right w:val="single" w:color="auto" w:sz="4" w:space="0"/>
            </w:tcBorders>
          </w:tcPr>
          <w:p>
            <w:pPr>
              <w:spacing w:before="137"/>
              <w:rPr>
                <w:rFonts w:ascii="Times New Roman" w:hAnsi="Times New Roman" w:eastAsia="仿宋" w:cs="Times New Roman"/>
              </w:rPr>
            </w:pPr>
          </w:p>
        </w:tc>
        <w:tc>
          <w:tcPr>
            <w:tcW w:w="1843" w:type="dxa"/>
            <w:tcBorders>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就业重点群体</w:t>
            </w:r>
          </w:p>
        </w:tc>
        <w:tc>
          <w:tcPr>
            <w:tcW w:w="1587"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农民</w:t>
            </w:r>
          </w:p>
        </w:tc>
        <w:tc>
          <w:tcPr>
            <w:tcW w:w="1418" w:type="dxa"/>
            <w:tcBorders>
              <w:top w:val="single" w:color="auto" w:sz="4" w:space="0"/>
              <w:left w:val="single" w:color="auto" w:sz="4" w:space="0"/>
              <w:bottom w:val="single" w:color="auto" w:sz="4" w:space="0"/>
              <w:right w:val="single" w:color="auto" w:sz="4" w:space="0"/>
            </w:tcBorders>
          </w:tcPr>
          <w:p>
            <w:r>
              <w:rPr>
                <w:rFonts w:hint="eastAsia" w:ascii="Times New Roman" w:hAnsi="Times New Roman" w:eastAsia="仿宋" w:cs="Times New Roman"/>
              </w:rPr>
              <w:t>公益</w:t>
            </w:r>
          </w:p>
        </w:tc>
        <w:tc>
          <w:tcPr>
            <w:tcW w:w="1134" w:type="dxa"/>
            <w:tcBorders>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34</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22</w:t>
            </w:r>
          </w:p>
        </w:tc>
        <w:tc>
          <w:tcPr>
            <w:tcW w:w="1134" w:type="dxa"/>
            <w:tcBorders>
              <w:left w:val="single" w:color="auto" w:sz="4" w:space="0"/>
              <w:bottom w:val="single" w:color="auto" w:sz="4" w:space="0"/>
            </w:tcBorders>
          </w:tcPr>
          <w:p>
            <w:r>
              <w:rPr>
                <w:rFonts w:hint="eastAsia" w:ascii="Times New Roman" w:hAnsi="Times New Roman" w:eastAsia="仿宋" w:cs="Times New Roman"/>
              </w:rPr>
              <w:t>线下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106" w:type="dxa"/>
            <w:vMerge w:val="continue"/>
            <w:tcBorders>
              <w:left w:val="single" w:color="auto" w:sz="4" w:space="0"/>
              <w:right w:val="single" w:color="auto" w:sz="4" w:space="0"/>
            </w:tcBorders>
          </w:tcPr>
          <w:p>
            <w:pPr>
              <w:spacing w:before="137"/>
              <w:rPr>
                <w:rFonts w:ascii="Times New Roman" w:hAnsi="Times New Roman" w:eastAsia="仿宋" w:cs="Times New Roman"/>
              </w:rPr>
            </w:pPr>
          </w:p>
        </w:tc>
        <w:tc>
          <w:tcPr>
            <w:tcW w:w="1843" w:type="dxa"/>
            <w:tcBorders>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扶贫</w:t>
            </w:r>
          </w:p>
        </w:tc>
        <w:tc>
          <w:tcPr>
            <w:tcW w:w="1587"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建档立卡</w:t>
            </w:r>
          </w:p>
        </w:tc>
        <w:tc>
          <w:tcPr>
            <w:tcW w:w="1418" w:type="dxa"/>
            <w:tcBorders>
              <w:top w:val="single" w:color="auto" w:sz="4" w:space="0"/>
              <w:left w:val="single" w:color="auto" w:sz="4" w:space="0"/>
              <w:bottom w:val="single" w:color="auto" w:sz="4" w:space="0"/>
              <w:right w:val="single" w:color="auto" w:sz="4" w:space="0"/>
            </w:tcBorders>
          </w:tcPr>
          <w:p>
            <w:r>
              <w:rPr>
                <w:rFonts w:hint="eastAsia" w:ascii="Times New Roman" w:hAnsi="Times New Roman" w:eastAsia="仿宋" w:cs="Times New Roman"/>
              </w:rPr>
              <w:t>公益</w:t>
            </w:r>
          </w:p>
        </w:tc>
        <w:tc>
          <w:tcPr>
            <w:tcW w:w="1134" w:type="dxa"/>
            <w:tcBorders>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56</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44</w:t>
            </w:r>
          </w:p>
        </w:tc>
        <w:tc>
          <w:tcPr>
            <w:tcW w:w="1134" w:type="dxa"/>
            <w:tcBorders>
              <w:left w:val="single" w:color="auto" w:sz="4" w:space="0"/>
              <w:bottom w:val="single" w:color="auto" w:sz="4" w:space="0"/>
            </w:tcBorders>
          </w:tcPr>
          <w:p>
            <w:r>
              <w:rPr>
                <w:rFonts w:hint="eastAsia" w:ascii="Times New Roman" w:hAnsi="Times New Roman" w:eastAsia="仿宋" w:cs="Times New Roman"/>
              </w:rPr>
              <w:t>线下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106" w:type="dxa"/>
            <w:vMerge w:val="continue"/>
            <w:tcBorders>
              <w:left w:val="single" w:color="auto" w:sz="4" w:space="0"/>
              <w:bottom w:val="single" w:color="auto" w:sz="4" w:space="0"/>
              <w:right w:val="single" w:color="auto" w:sz="4" w:space="0"/>
            </w:tcBorders>
          </w:tcPr>
          <w:p>
            <w:pPr>
              <w:spacing w:before="137"/>
              <w:rPr>
                <w:rFonts w:ascii="Times New Roman" w:hAnsi="Times New Roman" w:eastAsia="仿宋" w:cs="Times New Roman"/>
              </w:rPr>
            </w:pPr>
          </w:p>
        </w:tc>
        <w:tc>
          <w:tcPr>
            <w:tcW w:w="1843" w:type="dxa"/>
            <w:tcBorders>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特种作业</w:t>
            </w:r>
          </w:p>
        </w:tc>
        <w:tc>
          <w:tcPr>
            <w:tcW w:w="1587"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应急管理局</w:t>
            </w:r>
          </w:p>
        </w:tc>
        <w:tc>
          <w:tcPr>
            <w:tcW w:w="1418"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ascii="Times New Roman" w:hAnsi="Times New Roman" w:eastAsia="仿宋" w:cs="Times New Roman"/>
              </w:rPr>
              <w:t>有偿</w:t>
            </w:r>
          </w:p>
        </w:tc>
        <w:tc>
          <w:tcPr>
            <w:tcW w:w="1134" w:type="dxa"/>
            <w:tcBorders>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154</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94</w:t>
            </w:r>
          </w:p>
        </w:tc>
        <w:tc>
          <w:tcPr>
            <w:tcW w:w="1134" w:type="dxa"/>
            <w:tcBorders>
              <w:left w:val="single" w:color="auto" w:sz="4" w:space="0"/>
              <w:bottom w:val="single" w:color="auto" w:sz="4" w:space="0"/>
            </w:tcBorders>
          </w:tcPr>
          <w:p>
            <w:r>
              <w:rPr>
                <w:rFonts w:hint="eastAsia" w:ascii="Times New Roman" w:hAnsi="Times New Roman" w:eastAsia="仿宋" w:cs="Times New Roman"/>
              </w:rPr>
              <w:t>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4" w:hRule="atLeast"/>
        </w:trPr>
        <w:tc>
          <w:tcPr>
            <w:tcW w:w="1106" w:type="dxa"/>
            <w:vMerge w:val="restart"/>
            <w:tcBorders>
              <w:top w:val="single" w:color="auto" w:sz="4" w:space="0"/>
              <w:left w:val="single" w:color="auto" w:sz="4" w:space="0"/>
              <w:right w:val="single" w:color="auto" w:sz="4" w:space="0"/>
            </w:tcBorders>
          </w:tcPr>
          <w:p>
            <w:pPr>
              <w:spacing w:before="137"/>
              <w:rPr>
                <w:rFonts w:ascii="Times New Roman" w:hAnsi="Times New Roman" w:eastAsia="仿宋" w:cs="Times New Roman"/>
              </w:rPr>
            </w:pPr>
          </w:p>
          <w:p>
            <w:pPr>
              <w:spacing w:before="137"/>
              <w:rPr>
                <w:rFonts w:ascii="Times New Roman" w:hAnsi="Times New Roman" w:eastAsia="仿宋" w:cs="Times New Roman"/>
              </w:rPr>
            </w:pPr>
          </w:p>
          <w:p>
            <w:pPr>
              <w:spacing w:before="137"/>
              <w:rPr>
                <w:rFonts w:ascii="Times New Roman" w:hAnsi="Times New Roman" w:eastAsia="仿宋" w:cs="Times New Roman"/>
              </w:rPr>
            </w:pPr>
          </w:p>
          <w:p>
            <w:pPr>
              <w:spacing w:before="137"/>
              <w:rPr>
                <w:rFonts w:ascii="Times New Roman" w:hAnsi="Times New Roman" w:eastAsia="仿宋" w:cs="Times New Roman"/>
              </w:rPr>
            </w:pPr>
            <w:r>
              <w:rPr>
                <w:rFonts w:hint="eastAsia" w:ascii="Times New Roman" w:hAnsi="Times New Roman" w:eastAsia="仿宋" w:cs="Times New Roman"/>
              </w:rPr>
              <w:t>2020-2021</w:t>
            </w:r>
          </w:p>
        </w:tc>
        <w:tc>
          <w:tcPr>
            <w:tcW w:w="1843"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机关“工考”</w:t>
            </w:r>
          </w:p>
        </w:tc>
        <w:tc>
          <w:tcPr>
            <w:tcW w:w="1587"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人社局</w:t>
            </w:r>
          </w:p>
        </w:tc>
        <w:tc>
          <w:tcPr>
            <w:tcW w:w="1418"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ascii="Times New Roman" w:hAnsi="Times New Roman" w:eastAsia="仿宋" w:cs="Times New Roman"/>
              </w:rPr>
              <w:t>有偿</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357</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127</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1106" w:type="dxa"/>
            <w:vMerge w:val="continue"/>
            <w:tcBorders>
              <w:left w:val="single" w:color="auto" w:sz="4" w:space="0"/>
              <w:right w:val="single" w:color="auto" w:sz="4" w:space="0"/>
            </w:tcBorders>
          </w:tcPr>
          <w:p>
            <w:pPr>
              <w:spacing w:before="137"/>
              <w:rPr>
                <w:rFonts w:ascii="Times New Roman" w:hAnsi="Times New Roman" w:eastAsia="仿宋" w:cs="Times New Roman"/>
              </w:rPr>
            </w:pPr>
          </w:p>
        </w:tc>
        <w:tc>
          <w:tcPr>
            <w:tcW w:w="1843"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技能提升</w:t>
            </w:r>
          </w:p>
        </w:tc>
        <w:tc>
          <w:tcPr>
            <w:tcW w:w="1587"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企业</w:t>
            </w:r>
          </w:p>
        </w:tc>
        <w:tc>
          <w:tcPr>
            <w:tcW w:w="1418"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 w:cs="Times New Roman"/>
              </w:rPr>
            </w:pPr>
            <w:r>
              <w:rPr>
                <w:rFonts w:hint="eastAsia" w:ascii="Times New Roman" w:hAnsi="Times New Roman" w:eastAsia="仿宋" w:cs="Times New Roman"/>
              </w:rPr>
              <w:t>公益</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209</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60</w:t>
            </w:r>
          </w:p>
        </w:tc>
        <w:tc>
          <w:tcPr>
            <w:tcW w:w="1134" w:type="dxa"/>
            <w:tcBorders>
              <w:top w:val="single" w:color="auto" w:sz="4" w:space="0"/>
              <w:left w:val="single" w:color="auto" w:sz="4" w:space="0"/>
              <w:bottom w:val="single" w:color="auto" w:sz="4" w:space="0"/>
              <w:right w:val="single" w:color="auto" w:sz="4" w:space="0"/>
            </w:tcBorders>
          </w:tcPr>
          <w:p>
            <w:r>
              <w:rPr>
                <w:rFonts w:hint="eastAsia" w:ascii="Times New Roman" w:hAnsi="Times New Roman" w:eastAsia="仿宋" w:cs="Times New Roman"/>
              </w:rPr>
              <w:t>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4" w:hRule="atLeast"/>
        </w:trPr>
        <w:tc>
          <w:tcPr>
            <w:tcW w:w="1106" w:type="dxa"/>
            <w:vMerge w:val="continue"/>
            <w:tcBorders>
              <w:left w:val="single" w:color="auto" w:sz="4" w:space="0"/>
              <w:right w:val="single" w:color="auto" w:sz="4" w:space="0"/>
            </w:tcBorders>
          </w:tcPr>
          <w:p>
            <w:pPr>
              <w:spacing w:before="137"/>
              <w:rPr>
                <w:rFonts w:ascii="Times New Roman" w:hAnsi="Times New Roman" w:eastAsia="仿宋" w:cs="Times New Roman"/>
              </w:rPr>
            </w:pPr>
          </w:p>
        </w:tc>
        <w:tc>
          <w:tcPr>
            <w:tcW w:w="1843"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新型学徒制</w:t>
            </w:r>
          </w:p>
        </w:tc>
        <w:tc>
          <w:tcPr>
            <w:tcW w:w="1587"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企业</w:t>
            </w:r>
          </w:p>
        </w:tc>
        <w:tc>
          <w:tcPr>
            <w:tcW w:w="1418"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 w:cs="Times New Roman"/>
              </w:rPr>
            </w:pPr>
            <w:r>
              <w:rPr>
                <w:rFonts w:hint="eastAsia" w:ascii="Times New Roman" w:hAnsi="Times New Roman" w:eastAsia="仿宋" w:cs="Times New Roman"/>
              </w:rPr>
              <w:t>公益</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384</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400</w:t>
            </w:r>
          </w:p>
        </w:tc>
        <w:tc>
          <w:tcPr>
            <w:tcW w:w="1134" w:type="dxa"/>
            <w:tcBorders>
              <w:top w:val="single" w:color="auto" w:sz="4" w:space="0"/>
              <w:left w:val="single" w:color="auto" w:sz="4" w:space="0"/>
              <w:bottom w:val="single" w:color="auto" w:sz="4" w:space="0"/>
              <w:right w:val="single" w:color="auto" w:sz="4" w:space="0"/>
            </w:tcBorders>
          </w:tcPr>
          <w:p>
            <w:r>
              <w:rPr>
                <w:rFonts w:hint="eastAsia" w:ascii="Times New Roman" w:hAnsi="Times New Roman" w:eastAsia="仿宋" w:cs="Times New Roman"/>
              </w:rPr>
              <w:t>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4" w:hRule="atLeast"/>
        </w:trPr>
        <w:tc>
          <w:tcPr>
            <w:tcW w:w="1106" w:type="dxa"/>
            <w:vMerge w:val="continue"/>
            <w:tcBorders>
              <w:left w:val="single" w:color="auto" w:sz="4" w:space="0"/>
              <w:bottom w:val="single" w:color="auto" w:sz="4" w:space="0"/>
              <w:right w:val="single" w:color="auto" w:sz="4" w:space="0"/>
            </w:tcBorders>
          </w:tcPr>
          <w:p>
            <w:pPr>
              <w:spacing w:before="137"/>
              <w:rPr>
                <w:rFonts w:ascii="Times New Roman" w:hAnsi="Times New Roman" w:eastAsia="仿宋" w:cs="Times New Roman"/>
              </w:rPr>
            </w:pPr>
          </w:p>
        </w:tc>
        <w:tc>
          <w:tcPr>
            <w:tcW w:w="1843"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特种作业</w:t>
            </w:r>
          </w:p>
        </w:tc>
        <w:tc>
          <w:tcPr>
            <w:tcW w:w="1587"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应急管理局</w:t>
            </w:r>
          </w:p>
        </w:tc>
        <w:tc>
          <w:tcPr>
            <w:tcW w:w="1418"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ascii="Times New Roman" w:hAnsi="Times New Roman" w:eastAsia="仿宋" w:cs="Times New Roman"/>
              </w:rPr>
              <w:t>有偿</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102</w:t>
            </w:r>
          </w:p>
        </w:tc>
        <w:tc>
          <w:tcPr>
            <w:tcW w:w="1134" w:type="dxa"/>
            <w:tcBorders>
              <w:top w:val="single" w:color="auto" w:sz="4" w:space="0"/>
              <w:left w:val="single" w:color="auto" w:sz="4" w:space="0"/>
              <w:bottom w:val="single" w:color="auto" w:sz="4" w:space="0"/>
              <w:right w:val="single" w:color="auto" w:sz="4" w:space="0"/>
            </w:tcBorders>
          </w:tcPr>
          <w:p>
            <w:pPr>
              <w:spacing w:before="137" w:line="320" w:lineRule="exact"/>
              <w:rPr>
                <w:rFonts w:ascii="Times New Roman" w:hAnsi="Times New Roman" w:eastAsia="仿宋" w:cs="Times New Roman"/>
              </w:rPr>
            </w:pPr>
            <w:r>
              <w:rPr>
                <w:rFonts w:hint="eastAsia" w:ascii="Times New Roman" w:hAnsi="Times New Roman" w:eastAsia="仿宋" w:cs="Times New Roman"/>
              </w:rPr>
              <w:t>70</w:t>
            </w:r>
          </w:p>
        </w:tc>
        <w:tc>
          <w:tcPr>
            <w:tcW w:w="1134" w:type="dxa"/>
            <w:tcBorders>
              <w:top w:val="single" w:color="auto" w:sz="4" w:space="0"/>
              <w:left w:val="single" w:color="auto" w:sz="4" w:space="0"/>
              <w:bottom w:val="single" w:color="auto" w:sz="4" w:space="0"/>
              <w:right w:val="single" w:color="auto" w:sz="4" w:space="0"/>
            </w:tcBorders>
          </w:tcPr>
          <w:p>
            <w:r>
              <w:rPr>
                <w:rFonts w:hint="eastAsia" w:ascii="Times New Roman" w:hAnsi="Times New Roman" w:eastAsia="仿宋" w:cs="Times New Roman"/>
              </w:rPr>
              <w:t>线下</w:t>
            </w:r>
          </w:p>
        </w:tc>
      </w:tr>
    </w:tbl>
    <w:p>
      <w:pPr>
        <w:tabs>
          <w:tab w:val="left" w:pos="1071"/>
        </w:tabs>
        <w:spacing w:line="580" w:lineRule="exact"/>
        <w:ind w:firstLine="643" w:firstLineChars="200"/>
        <w:rPr>
          <w:rFonts w:ascii="Times New Roman" w:hAnsi="Times New Roman" w:eastAsia="仿宋_GB2312" w:cs="Times New Roman"/>
          <w:sz w:val="32"/>
        </w:rPr>
      </w:pPr>
      <w:r>
        <w:rPr>
          <w:rFonts w:ascii="Times New Roman" w:hAnsi="Times New Roman" w:eastAsia="仿宋_GB2312" w:cs="Times New Roman"/>
          <w:b/>
          <w:sz w:val="32"/>
        </w:rPr>
        <w:t>2.企业新型学徒培训</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学校</w:t>
      </w:r>
      <w:r>
        <w:rPr>
          <w:rFonts w:hint="eastAsia" w:ascii="Times New Roman" w:hAnsi="Times New Roman" w:eastAsia="仿宋_GB2312" w:cs="Times New Roman"/>
          <w:sz w:val="32"/>
        </w:rPr>
        <w:t>积极推进</w:t>
      </w:r>
      <w:r>
        <w:rPr>
          <w:rFonts w:ascii="Times New Roman" w:hAnsi="Times New Roman" w:eastAsia="仿宋_GB2312" w:cs="Times New Roman"/>
          <w:sz w:val="32"/>
        </w:rPr>
        <w:t>企业新型学徒制培训</w:t>
      </w:r>
      <w:r>
        <w:rPr>
          <w:rFonts w:hint="eastAsia" w:ascii="Times New Roman" w:hAnsi="Times New Roman" w:eastAsia="仿宋_GB2312" w:cs="Times New Roman"/>
          <w:sz w:val="32"/>
        </w:rPr>
        <w:t>工作，2020-2021年共招生培训384人，均进行</w:t>
      </w:r>
      <w:r>
        <w:rPr>
          <w:rFonts w:ascii="Times New Roman" w:hAnsi="Times New Roman" w:eastAsia="仿宋_GB2312" w:cs="Times New Roman"/>
          <w:sz w:val="32"/>
        </w:rPr>
        <w:t>技工院校一年</w:t>
      </w:r>
      <w:r>
        <w:rPr>
          <w:rFonts w:hint="eastAsia" w:ascii="Times New Roman" w:hAnsi="Times New Roman" w:eastAsia="仿宋_GB2312" w:cs="Times New Roman"/>
          <w:sz w:val="32"/>
        </w:rPr>
        <w:t>及以上</w:t>
      </w:r>
      <w:r>
        <w:rPr>
          <w:rFonts w:ascii="Times New Roman" w:hAnsi="Times New Roman" w:eastAsia="仿宋_GB2312" w:cs="Times New Roman"/>
          <w:sz w:val="32"/>
        </w:rPr>
        <w:t>非全日制学籍注册</w:t>
      </w:r>
      <w:r>
        <w:rPr>
          <w:rFonts w:hint="eastAsia" w:ascii="Times New Roman" w:hAnsi="Times New Roman" w:eastAsia="仿宋_GB2312" w:cs="Times New Roman"/>
          <w:sz w:val="32"/>
        </w:rPr>
        <w:t>。</w:t>
      </w:r>
      <w:r>
        <w:rPr>
          <w:rFonts w:ascii="Times New Roman" w:hAnsi="Times New Roman" w:eastAsia="仿宋_GB2312" w:cs="Times New Roman"/>
          <w:sz w:val="32"/>
        </w:rPr>
        <w:t>通过工学交替、校企双师联合</w:t>
      </w:r>
      <w:r>
        <w:rPr>
          <w:rFonts w:hint="eastAsia" w:ascii="Times New Roman" w:hAnsi="Times New Roman" w:eastAsia="仿宋_GB2312" w:cs="Times New Roman"/>
          <w:sz w:val="32"/>
        </w:rPr>
        <w:t>等形式，为企业、社会</w:t>
      </w:r>
      <w:r>
        <w:rPr>
          <w:rFonts w:ascii="Times New Roman" w:hAnsi="Times New Roman" w:eastAsia="仿宋_GB2312" w:cs="Times New Roman"/>
          <w:sz w:val="32"/>
        </w:rPr>
        <w:t>培养高技能人才</w:t>
      </w:r>
      <w:r>
        <w:rPr>
          <w:rFonts w:hint="eastAsia" w:ascii="Times New Roman" w:hAnsi="Times New Roman" w:eastAsia="仿宋_GB2312" w:cs="Times New Roman"/>
          <w:sz w:val="32"/>
        </w:rPr>
        <w:t>共624人</w:t>
      </w:r>
      <w:r>
        <w:rPr>
          <w:rFonts w:ascii="Times New Roman" w:hAnsi="Times New Roman" w:eastAsia="仿宋_GB2312" w:cs="Times New Roman"/>
          <w:sz w:val="32"/>
        </w:rPr>
        <w:t>。</w:t>
      </w:r>
    </w:p>
    <w:p>
      <w:pPr>
        <w:pStyle w:val="3"/>
        <w:spacing w:line="580" w:lineRule="exact"/>
        <w:ind w:left="0" w:firstLine="640" w:firstLineChars="200"/>
        <w:rPr>
          <w:rFonts w:ascii="Times New Roman" w:hAnsi="Times New Roman" w:eastAsia="楷体_GB2312" w:cs="Times New Roman"/>
          <w:b w:val="0"/>
        </w:rPr>
      </w:pPr>
      <w:r>
        <w:rPr>
          <w:rFonts w:ascii="Times New Roman" w:hAnsi="Times New Roman" w:eastAsia="楷体_GB2312" w:cs="Times New Roman"/>
          <w:b w:val="0"/>
        </w:rPr>
        <w:t>（二）技能鉴定（等级认定）服务</w:t>
      </w:r>
    </w:p>
    <w:p>
      <w:pPr>
        <w:tabs>
          <w:tab w:val="left" w:pos="1071"/>
        </w:tabs>
        <w:spacing w:line="580" w:lineRule="exact"/>
        <w:ind w:firstLine="640" w:firstLineChars="200"/>
      </w:pPr>
      <w:r>
        <w:rPr>
          <w:rFonts w:ascii="Times New Roman" w:hAnsi="Times New Roman" w:eastAsia="仿宋_GB2312" w:cs="Times New Roman"/>
          <w:sz w:val="32"/>
        </w:rPr>
        <w:t>学校</w:t>
      </w:r>
      <w:r>
        <w:rPr>
          <w:rFonts w:hint="eastAsia" w:ascii="Times New Roman" w:hAnsi="Times New Roman" w:eastAsia="仿宋_GB2312" w:cs="Times New Roman"/>
          <w:sz w:val="32"/>
        </w:rPr>
        <w:t>建有国家职业技能鉴定所（川-028）、技工院校职业技能等级认定试点机构和职业技能等级认定第三方评价机构，在</w:t>
      </w:r>
      <w:r>
        <w:rPr>
          <w:rFonts w:ascii="Times New Roman" w:hAnsi="Times New Roman" w:eastAsia="仿宋_GB2312" w:cs="Times New Roman"/>
          <w:sz w:val="32"/>
        </w:rPr>
        <w:t>为</w:t>
      </w:r>
      <w:r>
        <w:rPr>
          <w:rFonts w:hint="eastAsia" w:ascii="Times New Roman" w:hAnsi="Times New Roman" w:eastAsia="仿宋_GB2312" w:cs="Times New Roman"/>
          <w:sz w:val="32"/>
        </w:rPr>
        <w:t>校内</w:t>
      </w:r>
      <w:r>
        <w:rPr>
          <w:rFonts w:ascii="Times New Roman" w:hAnsi="Times New Roman" w:eastAsia="仿宋_GB2312" w:cs="Times New Roman"/>
          <w:sz w:val="32"/>
        </w:rPr>
        <w:t>学生提供职业技能等级</w:t>
      </w:r>
      <w:r>
        <w:rPr>
          <w:rFonts w:hint="eastAsia" w:ascii="Times New Roman" w:hAnsi="Times New Roman" w:eastAsia="仿宋_GB2312" w:cs="Times New Roman"/>
          <w:sz w:val="32"/>
        </w:rPr>
        <w:t>鉴（</w:t>
      </w:r>
      <w:r>
        <w:rPr>
          <w:rFonts w:ascii="Times New Roman" w:hAnsi="Times New Roman" w:eastAsia="仿宋_GB2312" w:cs="Times New Roman"/>
          <w:sz w:val="32"/>
        </w:rPr>
        <w:t>认</w:t>
      </w:r>
      <w:r>
        <w:rPr>
          <w:rFonts w:hint="eastAsia" w:ascii="Times New Roman" w:hAnsi="Times New Roman" w:eastAsia="仿宋_GB2312" w:cs="Times New Roman"/>
          <w:sz w:val="32"/>
        </w:rPr>
        <w:t>）</w:t>
      </w:r>
      <w:r>
        <w:rPr>
          <w:rFonts w:ascii="Times New Roman" w:hAnsi="Times New Roman" w:eastAsia="仿宋_GB2312" w:cs="Times New Roman"/>
          <w:sz w:val="32"/>
        </w:rPr>
        <w:t>定服务</w:t>
      </w:r>
      <w:r>
        <w:rPr>
          <w:rFonts w:hint="eastAsia" w:ascii="Times New Roman" w:hAnsi="Times New Roman" w:eastAsia="仿宋_GB2312" w:cs="Times New Roman"/>
          <w:sz w:val="32"/>
        </w:rPr>
        <w:t>的同时</w:t>
      </w:r>
      <w:r>
        <w:rPr>
          <w:rFonts w:ascii="Times New Roman" w:hAnsi="Times New Roman" w:eastAsia="仿宋_GB2312" w:cs="Times New Roman"/>
          <w:sz w:val="32"/>
        </w:rPr>
        <w:t>，</w:t>
      </w:r>
      <w:r>
        <w:rPr>
          <w:rFonts w:hint="eastAsia" w:ascii="Times New Roman" w:hAnsi="Times New Roman" w:eastAsia="仿宋_GB2312" w:cs="Times New Roman"/>
          <w:sz w:val="32"/>
        </w:rPr>
        <w:t>还积极为企业职工、社会人员</w:t>
      </w:r>
      <w:r>
        <w:rPr>
          <w:rFonts w:ascii="Times New Roman" w:hAnsi="Times New Roman" w:eastAsia="仿宋_GB2312" w:cs="Times New Roman"/>
          <w:sz w:val="32"/>
        </w:rPr>
        <w:t>提供职业技能等级</w:t>
      </w:r>
      <w:r>
        <w:rPr>
          <w:rFonts w:hint="eastAsia" w:ascii="Times New Roman" w:hAnsi="Times New Roman" w:eastAsia="仿宋_GB2312" w:cs="Times New Roman"/>
          <w:sz w:val="32"/>
        </w:rPr>
        <w:t>鉴（</w:t>
      </w:r>
      <w:r>
        <w:rPr>
          <w:rFonts w:ascii="Times New Roman" w:hAnsi="Times New Roman" w:eastAsia="仿宋_GB2312" w:cs="Times New Roman"/>
          <w:sz w:val="32"/>
        </w:rPr>
        <w:t>认</w:t>
      </w:r>
      <w:r>
        <w:rPr>
          <w:rFonts w:hint="eastAsia" w:ascii="Times New Roman" w:hAnsi="Times New Roman" w:eastAsia="仿宋_GB2312" w:cs="Times New Roman"/>
          <w:sz w:val="32"/>
        </w:rPr>
        <w:t>）</w:t>
      </w:r>
      <w:r>
        <w:rPr>
          <w:rFonts w:ascii="Times New Roman" w:hAnsi="Times New Roman" w:eastAsia="仿宋_GB2312" w:cs="Times New Roman"/>
          <w:sz w:val="32"/>
        </w:rPr>
        <w:t>定服务。2020年对外开展技能鉴定（等级认定）</w:t>
      </w:r>
      <w:r>
        <w:rPr>
          <w:rFonts w:hint="eastAsia" w:ascii="Times New Roman" w:hAnsi="Times New Roman" w:eastAsia="仿宋_GB2312" w:cs="Times New Roman"/>
          <w:sz w:val="32"/>
        </w:rPr>
        <w:t>962人，</w:t>
      </w:r>
      <w:r>
        <w:rPr>
          <w:rFonts w:ascii="Times New Roman" w:hAnsi="Times New Roman" w:eastAsia="仿宋_GB2312" w:cs="Times New Roman"/>
          <w:sz w:val="32"/>
        </w:rPr>
        <w:t xml:space="preserve"> 2021年对外开展技能鉴定（等级认定）</w:t>
      </w:r>
      <w:r>
        <w:rPr>
          <w:rFonts w:hint="eastAsia" w:ascii="Times New Roman" w:hAnsi="Times New Roman" w:eastAsia="仿宋_GB2312" w:cs="Times New Roman"/>
          <w:sz w:val="32"/>
        </w:rPr>
        <w:t>648人。</w:t>
      </w:r>
    </w:p>
    <w:p>
      <w:pPr>
        <w:tabs>
          <w:tab w:val="left" w:pos="683"/>
        </w:tabs>
        <w:spacing w:after="24" w:line="258" w:lineRule="exact"/>
        <w:ind w:right="12"/>
        <w:jc w:val="center"/>
        <w:rPr>
          <w:rFonts w:ascii="Times New Roman" w:hAnsi="Times New Roman" w:eastAsia="仿宋" w:cs="Times New Roman"/>
          <w:b/>
        </w:rPr>
      </w:pPr>
      <w:r>
        <w:rPr>
          <w:rFonts w:ascii="Times New Roman" w:hAnsi="Times New Roman" w:eastAsia="仿宋" w:cs="Times New Roman"/>
          <w:b/>
        </w:rPr>
        <w:t>表</w:t>
      </w:r>
      <w:r>
        <w:rPr>
          <w:rFonts w:ascii="Times New Roman" w:hAnsi="Times New Roman" w:eastAsia="Times New Roman" w:cs="Times New Roman"/>
          <w:b/>
        </w:rPr>
        <w:t>40 2020</w:t>
      </w:r>
      <w:r>
        <w:rPr>
          <w:rFonts w:ascii="Times New Roman" w:hAnsi="Times New Roman" w:cs="Times New Roman"/>
          <w:b/>
        </w:rPr>
        <w:t>-2021</w:t>
      </w:r>
      <w:r>
        <w:rPr>
          <w:rFonts w:ascii="Times New Roman" w:hAnsi="Times New Roman" w:eastAsia="仿宋" w:cs="Times New Roman"/>
          <w:b/>
        </w:rPr>
        <w:t>年对外开展技能鉴定（等级认定）工作统计表</w:t>
      </w:r>
    </w:p>
    <w:tbl>
      <w:tblPr>
        <w:tblStyle w:val="12"/>
        <w:tblW w:w="72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1984"/>
        <w:gridCol w:w="1701"/>
        <w:gridCol w:w="2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年度</w:t>
            </w:r>
          </w:p>
        </w:tc>
        <w:tc>
          <w:tcPr>
            <w:tcW w:w="1984" w:type="dxa"/>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职业工种</w:t>
            </w:r>
          </w:p>
        </w:tc>
        <w:tc>
          <w:tcPr>
            <w:tcW w:w="1701" w:type="dxa"/>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等级</w:t>
            </w:r>
          </w:p>
        </w:tc>
        <w:tc>
          <w:tcPr>
            <w:tcW w:w="2567" w:type="dxa"/>
            <w:vAlign w:val="center"/>
          </w:tcPr>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对外开展技能鉴定</w:t>
            </w:r>
          </w:p>
          <w:p>
            <w:pPr>
              <w:pStyle w:val="11"/>
              <w:adjustRightInd w:val="0"/>
              <w:snapToGrid w:val="0"/>
              <w:jc w:val="center"/>
              <w:rPr>
                <w:rFonts w:ascii="Times New Roman" w:hAnsi="Times New Roman" w:eastAsia="仿宋" w:cs="Times New Roman"/>
                <w:b/>
              </w:rPr>
            </w:pPr>
            <w:r>
              <w:rPr>
                <w:rFonts w:ascii="Times New Roman" w:hAnsi="Times New Roman" w:eastAsia="仿宋" w:cs="Times New Roman"/>
                <w:b/>
              </w:rPr>
              <w:t>（等级认定）数（人）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保育员</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四级</w:t>
            </w:r>
          </w:p>
        </w:tc>
        <w:tc>
          <w:tcPr>
            <w:tcW w:w="2567" w:type="dxa"/>
          </w:tcPr>
          <w:p>
            <w:pPr>
              <w:adjustRightInd w:val="0"/>
              <w:snapToGrid w:val="0"/>
              <w:jc w:val="center"/>
              <w:rPr>
                <w:rFonts w:ascii="Times New Roman" w:hAnsi="Times New Roman" w:cs="Times New Roman"/>
              </w:rPr>
            </w:pPr>
            <w:r>
              <w:rPr>
                <w:rFonts w:hint="eastAsia" w:ascii="Times New Roman" w:hAnsi="Times New Roman" w:cs="Times New Roman"/>
              </w:rPr>
              <w:t>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焊工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四级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焊工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五级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磨工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四级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汽车维修工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汽车维修工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一级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电工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四级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电工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铣工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车工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钳工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钳工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一级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制冷工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中式烹调师</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五级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2020</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中式面点师</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五级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保育员</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四级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169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中式面点师</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五级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焊工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四级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焊工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三级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焊工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一级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电工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四级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电工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三级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电工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中式烹调师</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五级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中式烹调师</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四级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钳工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四级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钳工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汽车维修工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汽车维修工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一级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40"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2021</w:t>
            </w:r>
          </w:p>
        </w:tc>
        <w:tc>
          <w:tcPr>
            <w:tcW w:w="1984"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车工</w:t>
            </w:r>
          </w:p>
        </w:tc>
        <w:tc>
          <w:tcPr>
            <w:tcW w:w="1701" w:type="dxa"/>
          </w:tcPr>
          <w:p>
            <w:pPr>
              <w:adjustRightInd w:val="0"/>
              <w:snapToGrid w:val="0"/>
              <w:rPr>
                <w:rFonts w:ascii="Times New Roman" w:hAnsi="Times New Roman" w:eastAsia="仿宋" w:cs="Times New Roman"/>
              </w:rPr>
            </w:pPr>
            <w:r>
              <w:rPr>
                <w:rFonts w:hint="eastAsia" w:ascii="Times New Roman" w:hAnsi="Times New Roman" w:eastAsia="仿宋" w:cs="Times New Roman"/>
              </w:rPr>
              <w:t>二级</w:t>
            </w:r>
          </w:p>
        </w:tc>
        <w:tc>
          <w:tcPr>
            <w:tcW w:w="2567" w:type="dxa"/>
          </w:tcPr>
          <w:p>
            <w:pPr>
              <w:adjustRightInd w:val="0"/>
              <w:snapToGrid w:val="0"/>
              <w:jc w:val="center"/>
              <w:rPr>
                <w:rFonts w:ascii="Times New Roman" w:hAnsi="Times New Roman" w:eastAsia="仿宋" w:cs="Times New Roman"/>
              </w:rPr>
            </w:pPr>
            <w:r>
              <w:rPr>
                <w:rFonts w:hint="eastAsia" w:ascii="Times New Roman" w:hAnsi="Times New Roman" w:eastAsia="仿宋" w:cs="Times New Roman"/>
              </w:rPr>
              <w:t>3</w:t>
            </w:r>
          </w:p>
        </w:tc>
      </w:tr>
    </w:tbl>
    <w:p>
      <w:pPr>
        <w:pStyle w:val="3"/>
        <w:spacing w:line="580" w:lineRule="exact"/>
        <w:ind w:left="0" w:firstLine="0"/>
        <w:rPr>
          <w:rFonts w:ascii="Times New Roman" w:hAnsi="Times New Roman" w:eastAsia="楷体_GB2312" w:cs="Times New Roman"/>
          <w:b w:val="0"/>
        </w:rPr>
      </w:pPr>
      <w:r>
        <w:rPr>
          <w:rFonts w:hint="eastAsia" w:ascii="Times New Roman" w:hAnsi="Times New Roman" w:eastAsia="楷体_GB2312" w:cs="Times New Roman"/>
          <w:b w:val="0"/>
        </w:rPr>
        <w:t xml:space="preserve">   </w:t>
      </w:r>
      <w:r>
        <w:rPr>
          <w:rFonts w:ascii="Times New Roman" w:hAnsi="Times New Roman" w:eastAsia="楷体_GB2312" w:cs="Times New Roman"/>
          <w:b w:val="0"/>
        </w:rPr>
        <w:t>（三）技术服务</w:t>
      </w:r>
    </w:p>
    <w:p>
      <w:pPr>
        <w:tabs>
          <w:tab w:val="left" w:pos="1071"/>
        </w:tabs>
        <w:spacing w:line="580" w:lineRule="exact"/>
        <w:ind w:firstLine="640" w:firstLineChars="200"/>
      </w:pPr>
      <w:r>
        <w:rPr>
          <w:rFonts w:hint="eastAsia" w:ascii="Times New Roman" w:hAnsi="Times New Roman" w:eastAsia="仿宋_GB2312" w:cs="Times New Roman"/>
          <w:sz w:val="32"/>
        </w:rPr>
        <w:t>学校通过校企合作，积极</w:t>
      </w:r>
      <w:r>
        <w:rPr>
          <w:rFonts w:ascii="Times New Roman" w:hAnsi="Times New Roman" w:eastAsia="仿宋_GB2312" w:cs="Times New Roman"/>
          <w:sz w:val="32"/>
        </w:rPr>
        <w:t>开展</w:t>
      </w:r>
      <w:r>
        <w:rPr>
          <w:rFonts w:hint="eastAsia" w:ascii="Times New Roman" w:hAnsi="Times New Roman" w:eastAsia="仿宋_GB2312" w:cs="Times New Roman"/>
          <w:sz w:val="32"/>
        </w:rPr>
        <w:t>企业职工技能提升培训和企业新型学徒制培训的</w:t>
      </w:r>
      <w:r>
        <w:rPr>
          <w:rFonts w:ascii="Times New Roman" w:hAnsi="Times New Roman" w:eastAsia="仿宋_GB2312" w:cs="Times New Roman"/>
          <w:sz w:val="32"/>
        </w:rPr>
        <w:t>技术服务</w:t>
      </w:r>
      <w:r>
        <w:rPr>
          <w:rFonts w:hint="eastAsia" w:ascii="Times New Roman" w:hAnsi="Times New Roman" w:eastAsia="仿宋_GB2312" w:cs="Times New Roman"/>
          <w:sz w:val="32"/>
        </w:rPr>
        <w:t>，同时为自贡市机关事业单位工人晋级提供培训考试服务。</w:t>
      </w:r>
    </w:p>
    <w:p>
      <w:pPr>
        <w:tabs>
          <w:tab w:val="left" w:pos="681"/>
        </w:tabs>
        <w:spacing w:after="23" w:line="208" w:lineRule="exact"/>
        <w:ind w:right="12"/>
        <w:jc w:val="center"/>
        <w:rPr>
          <w:rFonts w:ascii="Times New Roman" w:hAnsi="Times New Roman" w:eastAsia="仿宋" w:cs="Times New Roman"/>
          <w:b/>
        </w:rPr>
      </w:pPr>
      <w:r>
        <w:rPr>
          <w:rFonts w:ascii="Times New Roman" w:hAnsi="Times New Roman" w:eastAsia="仿宋" w:cs="Times New Roman"/>
          <w:b/>
        </w:rPr>
        <w:t>表</w:t>
      </w:r>
      <w:r>
        <w:rPr>
          <w:rFonts w:ascii="Times New Roman" w:hAnsi="Times New Roman" w:eastAsia="Times New Roman" w:cs="Times New Roman"/>
          <w:b/>
        </w:rPr>
        <w:t>41 2020</w:t>
      </w:r>
      <w:r>
        <w:rPr>
          <w:rFonts w:ascii="Times New Roman" w:hAnsi="Times New Roman" w:cs="Times New Roman"/>
          <w:b/>
          <w:spacing w:val="-1"/>
        </w:rPr>
        <w:t>-2021</w:t>
      </w:r>
      <w:r>
        <w:rPr>
          <w:rFonts w:ascii="Times New Roman" w:hAnsi="Times New Roman" w:eastAsia="仿宋" w:cs="Times New Roman"/>
          <w:b/>
        </w:rPr>
        <w:t>年技术服务统计表</w:t>
      </w:r>
    </w:p>
    <w:tbl>
      <w:tblPr>
        <w:tblStyle w:val="12"/>
        <w:tblW w:w="9781"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9"/>
        <w:gridCol w:w="2126"/>
        <w:gridCol w:w="1162"/>
        <w:gridCol w:w="2126"/>
        <w:gridCol w:w="1276"/>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1249" w:type="dxa"/>
            <w:vAlign w:val="center"/>
          </w:tcPr>
          <w:p>
            <w:pPr>
              <w:pStyle w:val="11"/>
              <w:spacing w:line="300" w:lineRule="exact"/>
              <w:jc w:val="center"/>
              <w:rPr>
                <w:rFonts w:ascii="Times New Roman" w:hAnsi="Times New Roman" w:cs="Times New Roman"/>
                <w:b/>
              </w:rPr>
            </w:pPr>
            <w:r>
              <w:rPr>
                <w:rFonts w:ascii="Times New Roman" w:hAnsi="Times New Roman" w:eastAsia="仿宋" w:cs="Times New Roman"/>
                <w:b/>
              </w:rPr>
              <w:t>年度</w:t>
            </w:r>
          </w:p>
        </w:tc>
        <w:tc>
          <w:tcPr>
            <w:tcW w:w="2126"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技术服务项目</w:t>
            </w:r>
            <w:r>
              <w:rPr>
                <w:rFonts w:ascii="Times New Roman" w:hAnsi="Times New Roman" w:cs="Times New Roman"/>
                <w:b/>
              </w:rPr>
              <w:t>/</w:t>
            </w:r>
            <w:r>
              <w:rPr>
                <w:rFonts w:ascii="Times New Roman" w:hAnsi="Times New Roman" w:eastAsia="仿宋" w:cs="Times New Roman"/>
                <w:b/>
              </w:rPr>
              <w:t>事项</w:t>
            </w:r>
          </w:p>
        </w:tc>
        <w:tc>
          <w:tcPr>
            <w:tcW w:w="1162"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服务人数</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（人）</w:t>
            </w:r>
          </w:p>
        </w:tc>
        <w:tc>
          <w:tcPr>
            <w:tcW w:w="2126"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性质（公益/有偿）</w:t>
            </w:r>
          </w:p>
        </w:tc>
        <w:tc>
          <w:tcPr>
            <w:tcW w:w="1276"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服务天数</w:t>
            </w:r>
          </w:p>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（天）</w:t>
            </w:r>
          </w:p>
        </w:tc>
        <w:tc>
          <w:tcPr>
            <w:tcW w:w="1842" w:type="dxa"/>
            <w:vAlign w:val="center"/>
          </w:tcPr>
          <w:p>
            <w:pPr>
              <w:pStyle w:val="11"/>
              <w:spacing w:line="300" w:lineRule="exact"/>
              <w:jc w:val="center"/>
              <w:rPr>
                <w:rFonts w:ascii="Times New Roman" w:hAnsi="Times New Roman" w:eastAsia="仿宋" w:cs="Times New Roman"/>
                <w:b/>
              </w:rPr>
            </w:pPr>
            <w:r>
              <w:rPr>
                <w:rFonts w:ascii="Times New Roman" w:hAnsi="Times New Roman" w:eastAsia="仿宋" w:cs="Times New Roman"/>
                <w:b/>
              </w:rPr>
              <w:t>服务形式及效果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249" w:type="dxa"/>
            <w:vMerge w:val="restart"/>
          </w:tcPr>
          <w:p>
            <w:pPr>
              <w:spacing w:before="1" w:line="246" w:lineRule="exact"/>
              <w:ind w:left="118" w:right="109"/>
              <w:rPr>
                <w:rFonts w:ascii="Times New Roman" w:hAnsi="Times New Roman" w:eastAsia="仿宋" w:cs="Times New Roman"/>
              </w:rPr>
            </w:pPr>
          </w:p>
          <w:p>
            <w:pPr>
              <w:spacing w:before="1" w:line="246" w:lineRule="exact"/>
              <w:ind w:left="118" w:right="109"/>
              <w:rPr>
                <w:rFonts w:ascii="Times New Roman" w:hAnsi="Times New Roman" w:eastAsia="仿宋" w:cs="Times New Roman"/>
              </w:rPr>
            </w:pPr>
          </w:p>
          <w:p>
            <w:pPr>
              <w:spacing w:before="1" w:line="246" w:lineRule="exact"/>
              <w:ind w:left="118" w:right="109"/>
              <w:rPr>
                <w:rFonts w:ascii="Times New Roman" w:hAnsi="Times New Roman" w:eastAsia="仿宋" w:cs="Times New Roman"/>
              </w:rPr>
            </w:pPr>
            <w:r>
              <w:rPr>
                <w:rFonts w:hint="eastAsia" w:ascii="Times New Roman" w:hAnsi="Times New Roman" w:eastAsia="仿宋" w:cs="Times New Roman"/>
              </w:rPr>
              <w:t>2020-2021</w:t>
            </w:r>
          </w:p>
        </w:tc>
        <w:tc>
          <w:tcPr>
            <w:tcW w:w="2126" w:type="dxa"/>
          </w:tcPr>
          <w:p>
            <w:pPr>
              <w:spacing w:before="1" w:line="246" w:lineRule="exact"/>
              <w:ind w:left="118" w:right="109"/>
              <w:rPr>
                <w:rFonts w:ascii="Times New Roman" w:hAnsi="Times New Roman" w:eastAsia="仿宋" w:cs="Times New Roman"/>
              </w:rPr>
            </w:pPr>
            <w:r>
              <w:rPr>
                <w:rFonts w:hint="eastAsia" w:ascii="Times New Roman" w:hAnsi="Times New Roman" w:eastAsia="仿宋" w:cs="Times New Roman"/>
              </w:rPr>
              <w:t>职业技能提升培训</w:t>
            </w:r>
          </w:p>
        </w:tc>
        <w:tc>
          <w:tcPr>
            <w:tcW w:w="1162" w:type="dxa"/>
          </w:tcPr>
          <w:p>
            <w:pPr>
              <w:spacing w:before="15" w:line="232" w:lineRule="exact"/>
              <w:ind w:left="152" w:right="143"/>
              <w:rPr>
                <w:rFonts w:ascii="Times New Roman" w:hAnsi="Times New Roman" w:cs="Times New Roman"/>
              </w:rPr>
            </w:pPr>
            <w:r>
              <w:rPr>
                <w:rFonts w:hint="eastAsia" w:ascii="Times New Roman" w:hAnsi="Times New Roman" w:eastAsia="仿宋" w:cs="Times New Roman"/>
              </w:rPr>
              <w:t>717</w:t>
            </w:r>
          </w:p>
        </w:tc>
        <w:tc>
          <w:tcPr>
            <w:tcW w:w="2126" w:type="dxa"/>
          </w:tcPr>
          <w:p>
            <w:pPr>
              <w:spacing w:before="1" w:line="246" w:lineRule="exact"/>
              <w:ind w:left="458" w:right="452"/>
              <w:rPr>
                <w:rFonts w:ascii="Times New Roman" w:hAnsi="Times New Roman" w:eastAsia="仿宋" w:cs="Times New Roman"/>
              </w:rPr>
            </w:pPr>
            <w:r>
              <w:rPr>
                <w:rFonts w:hint="eastAsia" w:ascii="Times New Roman" w:hAnsi="Times New Roman" w:eastAsia="仿宋" w:cs="Times New Roman"/>
              </w:rPr>
              <w:t>公益</w:t>
            </w:r>
          </w:p>
        </w:tc>
        <w:tc>
          <w:tcPr>
            <w:tcW w:w="1276" w:type="dxa"/>
          </w:tcPr>
          <w:p>
            <w:pPr>
              <w:spacing w:before="15" w:line="232" w:lineRule="exact"/>
              <w:ind w:left="440"/>
              <w:rPr>
                <w:rFonts w:ascii="Times New Roman" w:hAnsi="Times New Roman" w:cs="Times New Roman"/>
              </w:rPr>
            </w:pPr>
            <w:r>
              <w:rPr>
                <w:rFonts w:hint="eastAsia" w:ascii="Times New Roman" w:hAnsi="Times New Roman" w:cs="Times New Roman"/>
              </w:rPr>
              <w:t>240</w:t>
            </w:r>
          </w:p>
        </w:tc>
        <w:tc>
          <w:tcPr>
            <w:tcW w:w="1842" w:type="dxa"/>
          </w:tcPr>
          <w:p>
            <w:pPr>
              <w:spacing w:before="1" w:line="246" w:lineRule="exact"/>
              <w:ind w:left="146" w:right="139"/>
              <w:rPr>
                <w:rFonts w:ascii="Times New Roman" w:hAnsi="Times New Roman" w:eastAsia="仿宋" w:cs="Times New Roman"/>
              </w:rPr>
            </w:pPr>
            <w:r>
              <w:rPr>
                <w:rFonts w:hint="eastAsia" w:ascii="Times New Roman" w:hAnsi="Times New Roman" w:eastAsia="仿宋" w:cs="Times New Roman"/>
              </w:rPr>
              <w:t>校企合作、线下培训。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249" w:type="dxa"/>
            <w:vMerge w:val="continue"/>
          </w:tcPr>
          <w:p>
            <w:pPr>
              <w:spacing w:before="1" w:line="246" w:lineRule="exact"/>
              <w:ind w:left="118" w:right="109"/>
              <w:rPr>
                <w:rFonts w:ascii="Times New Roman" w:hAnsi="Times New Roman" w:eastAsia="仿宋" w:cs="Times New Roman"/>
              </w:rPr>
            </w:pPr>
          </w:p>
        </w:tc>
        <w:tc>
          <w:tcPr>
            <w:tcW w:w="2126" w:type="dxa"/>
          </w:tcPr>
          <w:p>
            <w:pPr>
              <w:spacing w:before="1" w:line="246" w:lineRule="exact"/>
              <w:ind w:left="118" w:right="109"/>
              <w:rPr>
                <w:rFonts w:ascii="Times New Roman" w:hAnsi="Times New Roman" w:eastAsia="仿宋" w:cs="Times New Roman"/>
              </w:rPr>
            </w:pPr>
            <w:r>
              <w:rPr>
                <w:rFonts w:hint="eastAsia" w:ascii="Times New Roman" w:hAnsi="Times New Roman" w:eastAsia="仿宋" w:cs="Times New Roman"/>
              </w:rPr>
              <w:t>新型学徒制培训</w:t>
            </w:r>
          </w:p>
        </w:tc>
        <w:tc>
          <w:tcPr>
            <w:tcW w:w="1162" w:type="dxa"/>
          </w:tcPr>
          <w:p>
            <w:pPr>
              <w:spacing w:before="15" w:line="232" w:lineRule="exact"/>
              <w:ind w:left="152" w:right="143"/>
              <w:rPr>
                <w:rFonts w:ascii="Times New Roman" w:hAnsi="Times New Roman" w:eastAsia="仿宋" w:cs="Times New Roman"/>
              </w:rPr>
            </w:pPr>
            <w:r>
              <w:rPr>
                <w:rFonts w:hint="eastAsia" w:ascii="Times New Roman" w:hAnsi="Times New Roman" w:eastAsia="仿宋" w:cs="Times New Roman"/>
              </w:rPr>
              <w:t>384</w:t>
            </w:r>
          </w:p>
        </w:tc>
        <w:tc>
          <w:tcPr>
            <w:tcW w:w="2126" w:type="dxa"/>
          </w:tcPr>
          <w:p>
            <w:pPr>
              <w:spacing w:before="1" w:line="246" w:lineRule="exact"/>
              <w:ind w:left="458" w:right="452"/>
              <w:rPr>
                <w:rFonts w:ascii="Times New Roman" w:hAnsi="Times New Roman" w:eastAsia="仿宋" w:cs="Times New Roman"/>
              </w:rPr>
            </w:pPr>
            <w:r>
              <w:rPr>
                <w:rFonts w:hint="eastAsia" w:ascii="Times New Roman" w:hAnsi="Times New Roman" w:eastAsia="仿宋" w:cs="Times New Roman"/>
              </w:rPr>
              <w:t>公益</w:t>
            </w:r>
          </w:p>
        </w:tc>
        <w:tc>
          <w:tcPr>
            <w:tcW w:w="1276" w:type="dxa"/>
          </w:tcPr>
          <w:p>
            <w:pPr>
              <w:spacing w:before="15" w:line="232" w:lineRule="exact"/>
              <w:ind w:left="440"/>
              <w:rPr>
                <w:rFonts w:ascii="Times New Roman" w:hAnsi="Times New Roman" w:cs="Times New Roman"/>
              </w:rPr>
            </w:pPr>
            <w:r>
              <w:rPr>
                <w:rFonts w:hint="eastAsia" w:ascii="Times New Roman" w:hAnsi="Times New Roman" w:cs="Times New Roman"/>
              </w:rPr>
              <w:t>400</w:t>
            </w:r>
          </w:p>
        </w:tc>
        <w:tc>
          <w:tcPr>
            <w:tcW w:w="1842" w:type="dxa"/>
          </w:tcPr>
          <w:p>
            <w:pPr>
              <w:spacing w:before="1" w:line="246" w:lineRule="exact"/>
              <w:ind w:left="146" w:right="139"/>
              <w:rPr>
                <w:rFonts w:ascii="Times New Roman" w:hAnsi="Times New Roman" w:eastAsia="仿宋" w:cs="Times New Roman"/>
              </w:rPr>
            </w:pPr>
            <w:r>
              <w:rPr>
                <w:rFonts w:hint="eastAsia" w:ascii="Times New Roman" w:hAnsi="Times New Roman" w:eastAsia="仿宋" w:cs="Times New Roman"/>
              </w:rPr>
              <w:t>校企合作、线下培训。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249" w:type="dxa"/>
            <w:vMerge w:val="continue"/>
          </w:tcPr>
          <w:p>
            <w:pPr>
              <w:spacing w:before="1" w:line="246" w:lineRule="exact"/>
              <w:ind w:left="118" w:right="109"/>
              <w:rPr>
                <w:rFonts w:ascii="Times New Roman" w:hAnsi="Times New Roman" w:eastAsia="仿宋" w:cs="Times New Roman"/>
              </w:rPr>
            </w:pPr>
          </w:p>
        </w:tc>
        <w:tc>
          <w:tcPr>
            <w:tcW w:w="2126" w:type="dxa"/>
          </w:tcPr>
          <w:p>
            <w:pPr>
              <w:spacing w:before="1" w:line="246" w:lineRule="exact"/>
              <w:ind w:left="118" w:right="109"/>
              <w:rPr>
                <w:rFonts w:ascii="Times New Roman" w:hAnsi="Times New Roman" w:eastAsia="仿宋" w:cs="Times New Roman"/>
              </w:rPr>
            </w:pPr>
            <w:r>
              <w:rPr>
                <w:rFonts w:hint="eastAsia" w:ascii="Times New Roman" w:hAnsi="Times New Roman" w:eastAsia="仿宋" w:cs="Times New Roman"/>
              </w:rPr>
              <w:t>机关“工考”</w:t>
            </w:r>
          </w:p>
        </w:tc>
        <w:tc>
          <w:tcPr>
            <w:tcW w:w="1162" w:type="dxa"/>
          </w:tcPr>
          <w:p>
            <w:pPr>
              <w:spacing w:before="15" w:line="232" w:lineRule="exact"/>
              <w:ind w:left="152" w:right="143"/>
              <w:rPr>
                <w:rFonts w:ascii="Times New Roman" w:hAnsi="Times New Roman" w:eastAsia="仿宋" w:cs="Times New Roman"/>
              </w:rPr>
            </w:pPr>
            <w:r>
              <w:rPr>
                <w:rFonts w:hint="eastAsia" w:ascii="Times New Roman" w:hAnsi="Times New Roman" w:eastAsia="仿宋" w:cs="Times New Roman"/>
              </w:rPr>
              <w:t>709</w:t>
            </w:r>
          </w:p>
        </w:tc>
        <w:tc>
          <w:tcPr>
            <w:tcW w:w="2126" w:type="dxa"/>
          </w:tcPr>
          <w:p>
            <w:pPr>
              <w:spacing w:before="1" w:line="246" w:lineRule="exact"/>
              <w:ind w:left="458" w:right="452"/>
              <w:rPr>
                <w:rFonts w:ascii="Times New Roman" w:hAnsi="Times New Roman" w:eastAsia="仿宋" w:cs="Times New Roman"/>
              </w:rPr>
            </w:pPr>
            <w:r>
              <w:rPr>
                <w:rFonts w:ascii="Times New Roman" w:hAnsi="Times New Roman" w:eastAsia="仿宋" w:cs="Times New Roman"/>
              </w:rPr>
              <w:t>有偿</w:t>
            </w:r>
          </w:p>
        </w:tc>
        <w:tc>
          <w:tcPr>
            <w:tcW w:w="1276" w:type="dxa"/>
          </w:tcPr>
          <w:p>
            <w:pPr>
              <w:spacing w:before="15" w:line="232" w:lineRule="exact"/>
              <w:ind w:left="440"/>
              <w:rPr>
                <w:rFonts w:ascii="Times New Roman" w:hAnsi="Times New Roman" w:cs="Times New Roman"/>
              </w:rPr>
            </w:pPr>
            <w:r>
              <w:rPr>
                <w:rFonts w:hint="eastAsia" w:ascii="Times New Roman" w:hAnsi="Times New Roman" w:cs="Times New Roman"/>
              </w:rPr>
              <w:t>247</w:t>
            </w:r>
          </w:p>
        </w:tc>
        <w:tc>
          <w:tcPr>
            <w:tcW w:w="1842" w:type="dxa"/>
          </w:tcPr>
          <w:p>
            <w:pPr>
              <w:spacing w:before="1" w:line="246" w:lineRule="exact"/>
              <w:ind w:left="146" w:right="139"/>
              <w:rPr>
                <w:rFonts w:ascii="Times New Roman" w:hAnsi="Times New Roman" w:eastAsia="仿宋" w:cs="Times New Roman"/>
              </w:rPr>
            </w:pPr>
            <w:r>
              <w:rPr>
                <w:rFonts w:hint="eastAsia" w:ascii="Times New Roman" w:hAnsi="Times New Roman" w:eastAsia="仿宋" w:cs="Times New Roman"/>
              </w:rPr>
              <w:t>校企合作、线下培训。</w:t>
            </w:r>
          </w:p>
        </w:tc>
      </w:tr>
    </w:tbl>
    <w:p>
      <w:pPr>
        <w:pStyle w:val="3"/>
        <w:spacing w:line="580" w:lineRule="exact"/>
        <w:ind w:left="0" w:firstLine="640" w:firstLineChars="200"/>
        <w:rPr>
          <w:rFonts w:hint="eastAsia" w:ascii="Times New Roman" w:hAnsi="Times New Roman" w:eastAsia="楷体_GB2312" w:cs="Times New Roman"/>
          <w:b w:val="0"/>
          <w:lang w:eastAsia="zh-CN"/>
        </w:rPr>
      </w:pPr>
      <w:r>
        <w:rPr>
          <w:rFonts w:ascii="Times New Roman" w:hAnsi="Times New Roman" w:eastAsia="楷体_GB2312" w:cs="Times New Roman"/>
          <w:b w:val="0"/>
        </w:rPr>
        <w:t>（四）文化传承</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经过40余年的沉淀和发展，学校办学理念鲜明，育人氛围浓厚，形成了独具特色的校训、校风、学风、教风等文化内涵，注重突出技工教育属性，强化技工教育文化熏陶，大力弘扬工匠精神、劳动精神，树匠心、育匠人、筑匠魂，始终坚持把“自强不息、追求一流”的学校核心价值观融入到师生学习和工作中，使师生在潜移默化中受到教育和感染，不断提升师生文化素养，培塑时代精神。以文化墙、横幅、展板、道旗、校园网络、广播等载体和国旗下的演讲、第二课堂等形式，突出社会主义核心价值观、党的优良传统、德育理念宣传，让师生传承和弘扬党的先进文化理念。开设企业文化相关课程，积极吸纳先进企业文化，倡导团队精神和吃苦耐劳精神，组织师生到企业观摩和实习，感受具有鲜明职业特色的就业环境氛围，了解企业用人需求和对技工的实际要求。开展学生顶岗实习前的岗前培训，就职业道德、职业精神、职业行为、职业习惯，心理健康、正确的择业观、企业员工的职业素养等对学生进行针对性地培训。</w:t>
      </w:r>
    </w:p>
    <w:p>
      <w:pPr>
        <w:pStyle w:val="3"/>
        <w:spacing w:line="580" w:lineRule="exact"/>
        <w:ind w:left="0" w:firstLine="640" w:firstLineChars="200"/>
        <w:rPr>
          <w:rFonts w:hint="eastAsia" w:ascii="Times New Roman" w:hAnsi="Times New Roman" w:eastAsia="楷体_GB2312" w:cs="Times New Roman"/>
          <w:color w:val="FF0000"/>
          <w:lang w:eastAsia="zh-CN"/>
        </w:rPr>
      </w:pPr>
      <w:r>
        <w:rPr>
          <w:rFonts w:ascii="Times New Roman" w:hAnsi="Times New Roman" w:eastAsia="楷体_GB2312" w:cs="Times New Roman"/>
          <w:b w:val="0"/>
        </w:rPr>
        <w:t>（五）援助帮扶</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2017年2月起帮扶富顺县琵琶镇金竹村、石贡村25户贫困户；2020年1月起调整帮扶富顺县琵琶镇顺江村23户贫困户；2021年6月，调整对口联系荣县保华镇代家山村，推进乡村振兴工作。2020年、2021年投入资金4.4万余元（截至2021.2.5），开展走访慰问、落实产业帮扶、支持村集体经济发展，“以购代捐”形式帮助解决销售农产品。下派2名同志分别担任富顺县琵琶镇顺江村驻村干部和荣县东佳镇脱贫攻坚突击队队长，选派1名同志到荣县保华镇代家山村担任第一书记。</w:t>
      </w:r>
      <w:r>
        <w:rPr>
          <w:rFonts w:ascii="Times New Roman" w:hAnsi="Times New Roman" w:eastAsia="仿宋_GB2312" w:cs="Times New Roman"/>
          <w:sz w:val="32"/>
        </w:rPr>
        <w:br w:type="textWrapping"/>
      </w:r>
      <w:r>
        <w:rPr>
          <w:rFonts w:hint="eastAsia" w:ascii="Times New Roman" w:hAnsi="Times New Roman" w:eastAsia="仿宋_GB2312" w:cs="Times New Roman"/>
          <w:sz w:val="32"/>
        </w:rPr>
        <w:t xml:space="preserve">     </w:t>
      </w:r>
      <w:r>
        <w:rPr>
          <w:rFonts w:ascii="Times New Roman" w:hAnsi="Times New Roman" w:eastAsia="仿宋_GB2312" w:cs="Times New Roman"/>
          <w:sz w:val="32"/>
        </w:rPr>
        <w:t>2016年起率先对我市建档立卡贫困家庭适龄应（往）届初高中毕业生中开展“精准扶贫”全免费职业学历教育项目，落实雨露计划等政策，按照现行情况给予学生资助，100%推荐就业。对家庭生活特别困难的学生，为其提供勤工俭学岗位，在生活上给予特别照顾，确保困难群众家庭子女顺利完成学业。2020年招收建档立卡贫困学生25名；2021年招收脱贫户学生35名。</w:t>
      </w:r>
      <w:r>
        <w:rPr>
          <w:rFonts w:ascii="Times New Roman" w:hAnsi="Times New Roman" w:eastAsia="仿宋_GB2312" w:cs="Times New Roman"/>
          <w:sz w:val="32"/>
        </w:rPr>
        <w:br w:type="textWrapping"/>
      </w:r>
      <w:r>
        <w:rPr>
          <w:rFonts w:ascii="Times New Roman" w:hAnsi="Times New Roman" w:eastAsia="仿宋_GB2312" w:cs="Times New Roman"/>
          <w:sz w:val="32"/>
        </w:rPr>
        <w:t>结合学校办学特色和优势，对琵琶镇顺江村、洞上村贫困劳动力和农村转移劳动力开展中式烹调技能培训，采取送教下乡的形式，着重针对乡村“一条龙”餐饮服务经营需求，让学员了解掌握食品安全、餐饮管理、特色菜等，培训学员30人，其中建档立卡贫困户13人，考核鉴定合格者获中式烹饪初级职业资格证书，进一步提升学员就业技能。开展自贡市2020年“扶贫专班”（电工），历时14天，培训学员26人，开展电工（初级）职业技能鉴定，帮助建档立卡家庭掌握技能，巩固扩大脱贫成果。持续推进深度贫困县甘孜州炉霍县“一帮一”技能扶贫培训，派出教师远赴炉霍县宜木乡充古村实施中式烹饪技能扶贫培训项目，培训学员27人，培训结束后，对有就业安置意愿的学员，积极与地方就业局联系，为其提供就业机会。</w:t>
      </w:r>
    </w:p>
    <w:p>
      <w:pPr>
        <w:pStyle w:val="2"/>
        <w:spacing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九、举办者履责</w:t>
      </w:r>
    </w:p>
    <w:p>
      <w:pPr>
        <w:pStyle w:val="3"/>
        <w:spacing w:line="580" w:lineRule="exact"/>
        <w:ind w:left="0" w:firstLine="640" w:firstLineChars="200"/>
        <w:rPr>
          <w:rFonts w:hint="eastAsia" w:ascii="Times New Roman" w:hAnsi="Times New Roman" w:eastAsia="楷体_GB2312" w:cs="Times New Roman"/>
          <w:b w:val="0"/>
          <w:color w:val="FF0000"/>
          <w:lang w:eastAsia="zh-CN"/>
        </w:rPr>
      </w:pPr>
      <w:r>
        <w:rPr>
          <w:rFonts w:ascii="Times New Roman" w:hAnsi="Times New Roman" w:eastAsia="楷体_GB2312" w:cs="Times New Roman"/>
          <w:b w:val="0"/>
        </w:rPr>
        <w:t>（一）办学经费</w:t>
      </w:r>
    </w:p>
    <w:p>
      <w:pPr>
        <w:tabs>
          <w:tab w:val="left" w:pos="1071"/>
        </w:tabs>
        <w:spacing w:line="580" w:lineRule="exact"/>
        <w:ind w:firstLine="640" w:firstLineChars="200"/>
        <w:jc w:val="left"/>
        <w:rPr>
          <w:rFonts w:ascii="Times New Roman" w:hAnsi="Times New Roman" w:eastAsia="仿宋_GB2312" w:cs="Times New Roman"/>
          <w:sz w:val="32"/>
        </w:rPr>
      </w:pPr>
      <w:r>
        <w:rPr>
          <w:rFonts w:ascii="Times New Roman" w:hAnsi="Times New Roman" w:eastAsia="仿宋_GB2312" w:cs="Times New Roman"/>
          <w:sz w:val="32"/>
        </w:rPr>
        <w:t>学院在职职工工资及各类保险由财政拨款落实，学院公用经费通过学生住宿费、短训鉴定费、联办大专学费、国家免学费专项及教育费附加等资金保障。学院2020年年生均财政拨款3.67万元，2021年年生均财政拨款3.98万元。2020学院无项目投入，2021年学院项目投入为现代职业教育质量提升计划中央专项资金300万元（用于学生生活用房改造）。2020年生均财政免学费专项为  0.20万元，2021年生均财政免学费专项为0.21万元。</w:t>
      </w:r>
    </w:p>
    <w:p>
      <w:pPr>
        <w:tabs>
          <w:tab w:val="left" w:pos="681"/>
        </w:tabs>
        <w:spacing w:after="11" w:line="258" w:lineRule="exact"/>
        <w:ind w:right="3"/>
        <w:jc w:val="center"/>
        <w:rPr>
          <w:rFonts w:ascii="Times New Roman" w:hAnsi="Times New Roman" w:eastAsia="仿宋" w:cs="Times New Roman"/>
          <w:b/>
        </w:rPr>
      </w:pPr>
      <w:r>
        <w:rPr>
          <w:rFonts w:ascii="Times New Roman" w:hAnsi="Times New Roman" w:eastAsia="仿宋" w:cs="Times New Roman"/>
          <w:b/>
        </w:rPr>
        <w:t>表</w:t>
      </w:r>
      <w:r>
        <w:rPr>
          <w:rFonts w:ascii="Times New Roman" w:hAnsi="Times New Roman" w:eastAsia="Times New Roman" w:cs="Times New Roman"/>
          <w:b/>
        </w:rPr>
        <w:t>42 20</w:t>
      </w:r>
      <w:r>
        <w:rPr>
          <w:rFonts w:ascii="Times New Roman" w:hAnsi="Times New Roman" w:cs="Times New Roman"/>
          <w:b/>
        </w:rPr>
        <w:t>20</w:t>
      </w:r>
      <w:r>
        <w:rPr>
          <w:rFonts w:ascii="Times New Roman" w:hAnsi="Times New Roman" w:eastAsia="Times New Roman" w:cs="Times New Roman"/>
          <w:b/>
        </w:rPr>
        <w:t>-2020</w:t>
      </w:r>
      <w:r>
        <w:rPr>
          <w:rFonts w:ascii="Times New Roman" w:hAnsi="Times New Roman" w:eastAsia="Times New Roman" w:cs="Times New Roman"/>
          <w:b/>
          <w:spacing w:val="-9"/>
        </w:rPr>
        <w:t>1</w:t>
      </w:r>
      <w:r>
        <w:rPr>
          <w:rFonts w:ascii="Times New Roman" w:hAnsi="Times New Roman" w:eastAsia="仿宋" w:cs="Times New Roman"/>
          <w:b/>
        </w:rPr>
        <w:t>年办学经费收入情况一览表（单位：万元）</w:t>
      </w:r>
    </w:p>
    <w:tbl>
      <w:tblPr>
        <w:tblStyle w:val="12"/>
        <w:tblW w:w="90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3"/>
        <w:gridCol w:w="1658"/>
        <w:gridCol w:w="1539"/>
        <w:gridCol w:w="1490"/>
        <w:gridCol w:w="1539"/>
        <w:gridCol w:w="15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23" w:type="dxa"/>
          </w:tcPr>
          <w:p>
            <w:pPr>
              <w:pStyle w:val="11"/>
              <w:spacing w:before="1" w:line="262" w:lineRule="exact"/>
              <w:ind w:left="429" w:right="422"/>
              <w:rPr>
                <w:rFonts w:ascii="Times New Roman" w:hAnsi="Times New Roman" w:eastAsia="仿宋" w:cs="Times New Roman"/>
                <w:b/>
              </w:rPr>
            </w:pPr>
            <w:r>
              <w:rPr>
                <w:rFonts w:ascii="Times New Roman" w:hAnsi="Times New Roman" w:eastAsia="仿宋" w:cs="Times New Roman"/>
                <w:b/>
              </w:rPr>
              <w:t>年度</w:t>
            </w:r>
          </w:p>
        </w:tc>
        <w:tc>
          <w:tcPr>
            <w:tcW w:w="1658" w:type="dxa"/>
          </w:tcPr>
          <w:p>
            <w:pPr>
              <w:pStyle w:val="11"/>
              <w:spacing w:before="1" w:line="262" w:lineRule="exact"/>
              <w:ind w:left="178" w:right="164"/>
              <w:rPr>
                <w:rFonts w:ascii="Times New Roman" w:hAnsi="Times New Roman" w:eastAsia="仿宋" w:cs="Times New Roman"/>
                <w:b/>
              </w:rPr>
            </w:pPr>
            <w:r>
              <w:rPr>
                <w:rFonts w:ascii="Times New Roman" w:hAnsi="Times New Roman" w:eastAsia="仿宋" w:cs="Times New Roman"/>
                <w:b/>
              </w:rPr>
              <w:t>生均财政拨款</w:t>
            </w:r>
          </w:p>
        </w:tc>
        <w:tc>
          <w:tcPr>
            <w:tcW w:w="1539" w:type="dxa"/>
          </w:tcPr>
          <w:p>
            <w:pPr>
              <w:pStyle w:val="11"/>
              <w:spacing w:before="1" w:line="262" w:lineRule="exact"/>
              <w:ind w:left="328" w:right="317"/>
              <w:rPr>
                <w:rFonts w:ascii="Times New Roman" w:hAnsi="Times New Roman" w:eastAsia="仿宋" w:cs="Times New Roman"/>
                <w:b/>
              </w:rPr>
            </w:pPr>
            <w:r>
              <w:rPr>
                <w:rFonts w:ascii="Times New Roman" w:hAnsi="Times New Roman" w:eastAsia="仿宋" w:cs="Times New Roman"/>
                <w:b/>
              </w:rPr>
              <w:t>项目经费</w:t>
            </w:r>
          </w:p>
        </w:tc>
        <w:tc>
          <w:tcPr>
            <w:tcW w:w="1490" w:type="dxa"/>
          </w:tcPr>
          <w:p>
            <w:pPr>
              <w:pStyle w:val="11"/>
              <w:spacing w:before="1" w:line="262" w:lineRule="exact"/>
              <w:ind w:left="303" w:right="292"/>
              <w:rPr>
                <w:rFonts w:ascii="Times New Roman" w:hAnsi="Times New Roman" w:eastAsia="仿宋" w:cs="Times New Roman"/>
                <w:b/>
              </w:rPr>
            </w:pPr>
            <w:r>
              <w:rPr>
                <w:rFonts w:ascii="Times New Roman" w:hAnsi="Times New Roman" w:eastAsia="仿宋" w:cs="Times New Roman"/>
                <w:b/>
              </w:rPr>
              <w:t>学费收入</w:t>
            </w:r>
          </w:p>
        </w:tc>
        <w:tc>
          <w:tcPr>
            <w:tcW w:w="1539" w:type="dxa"/>
          </w:tcPr>
          <w:p>
            <w:pPr>
              <w:pStyle w:val="11"/>
              <w:spacing w:before="1" w:line="262" w:lineRule="exact"/>
              <w:ind w:left="328" w:right="317"/>
              <w:rPr>
                <w:rFonts w:ascii="Times New Roman" w:hAnsi="Times New Roman" w:eastAsia="仿宋" w:cs="Times New Roman"/>
                <w:b/>
              </w:rPr>
            </w:pPr>
            <w:r>
              <w:rPr>
                <w:rFonts w:ascii="Times New Roman" w:hAnsi="Times New Roman" w:eastAsia="仿宋" w:cs="Times New Roman"/>
                <w:b/>
              </w:rPr>
              <w:t>其他收入</w:t>
            </w:r>
          </w:p>
        </w:tc>
        <w:tc>
          <w:tcPr>
            <w:tcW w:w="1542" w:type="dxa"/>
          </w:tcPr>
          <w:p>
            <w:pPr>
              <w:pStyle w:val="11"/>
              <w:spacing w:before="1" w:line="262" w:lineRule="exact"/>
              <w:ind w:left="409" w:right="398"/>
              <w:rPr>
                <w:rFonts w:ascii="Times New Roman" w:hAnsi="Times New Roman" w:eastAsia="仿宋" w:cs="Times New Roman"/>
                <w:b/>
              </w:rPr>
            </w:pPr>
            <w:r>
              <w:rPr>
                <w:rFonts w:ascii="Times New Roman" w:hAnsi="Times New Roman" w:eastAsia="仿宋" w:cs="Times New Roman"/>
                <w:b/>
              </w:rPr>
              <w:t>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323" w:type="dxa"/>
          </w:tcPr>
          <w:p>
            <w:pPr>
              <w:pStyle w:val="11"/>
              <w:ind w:left="429" w:right="421"/>
              <w:rPr>
                <w:rFonts w:ascii="Times New Roman" w:hAnsi="Times New Roman" w:cs="Times New Roman"/>
                <w:b/>
              </w:rPr>
            </w:pPr>
            <w:r>
              <w:rPr>
                <w:rFonts w:ascii="Times New Roman" w:hAnsi="Times New Roman" w:cs="Times New Roman"/>
                <w:b/>
              </w:rPr>
              <w:t>2020</w:t>
            </w:r>
          </w:p>
        </w:tc>
        <w:tc>
          <w:tcPr>
            <w:tcW w:w="1658" w:type="dxa"/>
          </w:tcPr>
          <w:p>
            <w:pPr>
              <w:ind w:left="174" w:right="164"/>
              <w:jc w:val="center"/>
              <w:rPr>
                <w:rFonts w:ascii="Times New Roman" w:hAnsi="Times New Roman" w:cs="Times New Roman"/>
              </w:rPr>
            </w:pPr>
            <w:r>
              <w:rPr>
                <w:rFonts w:hint="eastAsia" w:ascii="Times New Roman" w:hAnsi="Times New Roman" w:cs="Times New Roman"/>
              </w:rPr>
              <w:t>3.67</w:t>
            </w:r>
          </w:p>
        </w:tc>
        <w:tc>
          <w:tcPr>
            <w:tcW w:w="1539" w:type="dxa"/>
          </w:tcPr>
          <w:p>
            <w:pPr>
              <w:ind w:left="328" w:right="316"/>
              <w:jc w:val="center"/>
              <w:rPr>
                <w:rFonts w:ascii="Times New Roman" w:hAnsi="Times New Roman" w:cs="Times New Roman"/>
              </w:rPr>
            </w:pPr>
            <w:r>
              <w:rPr>
                <w:rFonts w:hint="eastAsia" w:ascii="Times New Roman" w:hAnsi="Times New Roman" w:cs="Times New Roman"/>
              </w:rPr>
              <w:t>0</w:t>
            </w:r>
          </w:p>
        </w:tc>
        <w:tc>
          <w:tcPr>
            <w:tcW w:w="1490" w:type="dxa"/>
          </w:tcPr>
          <w:p>
            <w:pPr>
              <w:ind w:left="7"/>
              <w:jc w:val="center"/>
              <w:rPr>
                <w:rFonts w:ascii="Times New Roman" w:hAnsi="Times New Roman" w:cs="Times New Roman"/>
              </w:rPr>
            </w:pPr>
            <w:r>
              <w:rPr>
                <w:rFonts w:hint="eastAsia" w:ascii="Times New Roman" w:hAnsi="Times New Roman" w:cs="Times New Roman"/>
              </w:rPr>
              <w:t>9.89</w:t>
            </w:r>
          </w:p>
        </w:tc>
        <w:tc>
          <w:tcPr>
            <w:tcW w:w="1539" w:type="dxa"/>
          </w:tcPr>
          <w:p>
            <w:pPr>
              <w:ind w:left="326" w:right="317"/>
              <w:jc w:val="center"/>
              <w:rPr>
                <w:rFonts w:ascii="Times New Roman" w:hAnsi="Times New Roman" w:cs="Times New Roman"/>
              </w:rPr>
            </w:pPr>
            <w:r>
              <w:rPr>
                <w:rFonts w:hint="eastAsia" w:ascii="Times New Roman" w:hAnsi="Times New Roman" w:cs="Times New Roman"/>
              </w:rPr>
              <w:t>48.17</w:t>
            </w:r>
          </w:p>
        </w:tc>
        <w:tc>
          <w:tcPr>
            <w:tcW w:w="1542" w:type="dxa"/>
          </w:tcPr>
          <w:p>
            <w:pPr>
              <w:spacing w:line="221" w:lineRule="exact"/>
              <w:ind w:left="170" w:right="158"/>
              <w:jc w:val="center"/>
              <w:rPr>
                <w:rFonts w:ascii="Times New Roman" w:hAnsi="Times New Roman" w:cs="Times New Roman"/>
              </w:rPr>
            </w:pPr>
            <w:r>
              <w:rPr>
                <w:rFonts w:hint="eastAsia" w:ascii="Times New Roman" w:hAnsi="Times New Roman" w:cs="Times New Roman"/>
              </w:rPr>
              <w:t>5033.89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323" w:type="dxa"/>
          </w:tcPr>
          <w:p>
            <w:pPr>
              <w:pStyle w:val="11"/>
              <w:spacing w:before="1"/>
              <w:ind w:left="429" w:right="421"/>
              <w:rPr>
                <w:rFonts w:ascii="Times New Roman" w:hAnsi="Times New Roman" w:cs="Times New Roman"/>
                <w:b/>
              </w:rPr>
            </w:pPr>
            <w:r>
              <w:rPr>
                <w:rFonts w:ascii="Times New Roman" w:hAnsi="Times New Roman" w:cs="Times New Roman"/>
                <w:b/>
              </w:rPr>
              <w:t>2021</w:t>
            </w:r>
          </w:p>
        </w:tc>
        <w:tc>
          <w:tcPr>
            <w:tcW w:w="1658" w:type="dxa"/>
          </w:tcPr>
          <w:p>
            <w:pPr>
              <w:spacing w:before="1"/>
              <w:ind w:left="172" w:right="164"/>
              <w:jc w:val="center"/>
              <w:rPr>
                <w:rFonts w:ascii="Times New Roman" w:hAnsi="Times New Roman" w:cs="Times New Roman"/>
              </w:rPr>
            </w:pPr>
            <w:r>
              <w:rPr>
                <w:rFonts w:hint="eastAsia" w:ascii="Times New Roman" w:hAnsi="Times New Roman" w:cs="Times New Roman"/>
              </w:rPr>
              <w:t>3.98</w:t>
            </w:r>
          </w:p>
        </w:tc>
        <w:tc>
          <w:tcPr>
            <w:tcW w:w="1539" w:type="dxa"/>
          </w:tcPr>
          <w:p>
            <w:pPr>
              <w:spacing w:before="1"/>
              <w:ind w:left="7"/>
              <w:jc w:val="center"/>
              <w:rPr>
                <w:rFonts w:ascii="Times New Roman" w:hAnsi="Times New Roman" w:cs="Times New Roman"/>
              </w:rPr>
            </w:pPr>
            <w:r>
              <w:rPr>
                <w:rFonts w:hint="eastAsia" w:ascii="Times New Roman" w:hAnsi="Times New Roman" w:cs="Times New Roman"/>
              </w:rPr>
              <w:t>5</w:t>
            </w:r>
          </w:p>
        </w:tc>
        <w:tc>
          <w:tcPr>
            <w:tcW w:w="1490" w:type="dxa"/>
          </w:tcPr>
          <w:p>
            <w:pPr>
              <w:spacing w:before="1"/>
              <w:ind w:left="7"/>
              <w:jc w:val="center"/>
              <w:rPr>
                <w:rFonts w:ascii="Times New Roman" w:hAnsi="Times New Roman" w:cs="Times New Roman"/>
              </w:rPr>
            </w:pPr>
            <w:r>
              <w:rPr>
                <w:rFonts w:hint="eastAsia" w:ascii="Times New Roman" w:hAnsi="Times New Roman" w:cs="Times New Roman"/>
              </w:rPr>
              <w:t>21.60</w:t>
            </w:r>
          </w:p>
        </w:tc>
        <w:tc>
          <w:tcPr>
            <w:tcW w:w="1539" w:type="dxa"/>
          </w:tcPr>
          <w:p>
            <w:pPr>
              <w:spacing w:before="1"/>
              <w:ind w:left="326" w:right="317"/>
              <w:jc w:val="center"/>
              <w:rPr>
                <w:rFonts w:ascii="Times New Roman" w:hAnsi="Times New Roman" w:cs="Times New Roman"/>
              </w:rPr>
            </w:pPr>
            <w:r>
              <w:rPr>
                <w:rFonts w:hint="eastAsia" w:ascii="Times New Roman" w:hAnsi="Times New Roman" w:cs="Times New Roman"/>
              </w:rPr>
              <w:t>48.77</w:t>
            </w:r>
          </w:p>
        </w:tc>
        <w:tc>
          <w:tcPr>
            <w:tcW w:w="1542" w:type="dxa"/>
          </w:tcPr>
          <w:p>
            <w:pPr>
              <w:spacing w:before="20"/>
              <w:ind w:left="170" w:right="158"/>
              <w:jc w:val="center"/>
              <w:rPr>
                <w:rFonts w:ascii="Times New Roman" w:hAnsi="Times New Roman" w:cs="Times New Roman"/>
              </w:rPr>
            </w:pPr>
            <w:r>
              <w:rPr>
                <w:rFonts w:hint="eastAsia" w:ascii="Times New Roman" w:hAnsi="Times New Roman" w:cs="Times New Roman"/>
              </w:rPr>
              <w:t>5352.65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1323" w:type="dxa"/>
          </w:tcPr>
          <w:p>
            <w:pPr>
              <w:pStyle w:val="11"/>
              <w:spacing w:line="264" w:lineRule="exact"/>
              <w:ind w:left="429" w:right="422"/>
              <w:rPr>
                <w:rFonts w:ascii="Times New Roman" w:hAnsi="Times New Roman" w:eastAsia="仿宋" w:cs="Times New Roman"/>
                <w:b/>
              </w:rPr>
            </w:pPr>
            <w:r>
              <w:rPr>
                <w:rFonts w:ascii="Times New Roman" w:hAnsi="Times New Roman" w:eastAsia="仿宋" w:cs="Times New Roman"/>
                <w:b/>
              </w:rPr>
              <w:t>总计</w:t>
            </w:r>
          </w:p>
        </w:tc>
        <w:tc>
          <w:tcPr>
            <w:tcW w:w="1658" w:type="dxa"/>
          </w:tcPr>
          <w:p>
            <w:pPr>
              <w:spacing w:before="21"/>
              <w:ind w:left="174" w:right="164"/>
              <w:jc w:val="center"/>
              <w:rPr>
                <w:rFonts w:ascii="Times New Roman" w:hAnsi="Times New Roman" w:cs="Times New Roman"/>
              </w:rPr>
            </w:pPr>
            <w:r>
              <w:rPr>
                <w:rFonts w:hint="eastAsia" w:ascii="Times New Roman" w:hAnsi="Times New Roman" w:cs="Times New Roman"/>
              </w:rPr>
              <w:t>7.73</w:t>
            </w:r>
          </w:p>
        </w:tc>
        <w:tc>
          <w:tcPr>
            <w:tcW w:w="1539" w:type="dxa"/>
          </w:tcPr>
          <w:p>
            <w:pPr>
              <w:ind w:left="328" w:right="316"/>
              <w:jc w:val="center"/>
              <w:rPr>
                <w:rFonts w:ascii="Times New Roman" w:hAnsi="Times New Roman" w:cs="Times New Roman"/>
              </w:rPr>
            </w:pPr>
            <w:r>
              <w:rPr>
                <w:rFonts w:hint="eastAsia" w:ascii="Times New Roman" w:hAnsi="Times New Roman" w:cs="Times New Roman"/>
              </w:rPr>
              <w:t>5</w:t>
            </w:r>
          </w:p>
        </w:tc>
        <w:tc>
          <w:tcPr>
            <w:tcW w:w="1490" w:type="dxa"/>
          </w:tcPr>
          <w:p>
            <w:pPr>
              <w:ind w:left="7"/>
              <w:jc w:val="center"/>
              <w:rPr>
                <w:rFonts w:ascii="Times New Roman" w:hAnsi="Times New Roman" w:cs="Times New Roman"/>
              </w:rPr>
            </w:pPr>
            <w:r>
              <w:rPr>
                <w:rFonts w:hint="eastAsia" w:ascii="Times New Roman" w:hAnsi="Times New Roman" w:cs="Times New Roman"/>
              </w:rPr>
              <w:t>31.49</w:t>
            </w:r>
          </w:p>
        </w:tc>
        <w:tc>
          <w:tcPr>
            <w:tcW w:w="1539" w:type="dxa"/>
          </w:tcPr>
          <w:p>
            <w:pPr>
              <w:ind w:left="324" w:right="317"/>
              <w:jc w:val="center"/>
              <w:rPr>
                <w:rFonts w:ascii="Times New Roman" w:hAnsi="Times New Roman" w:cs="Times New Roman"/>
              </w:rPr>
            </w:pPr>
            <w:r>
              <w:rPr>
                <w:rFonts w:hint="eastAsia" w:ascii="Times New Roman" w:hAnsi="Times New Roman" w:cs="Times New Roman"/>
              </w:rPr>
              <w:t>96.94</w:t>
            </w:r>
          </w:p>
        </w:tc>
        <w:tc>
          <w:tcPr>
            <w:tcW w:w="1542" w:type="dxa"/>
          </w:tcPr>
          <w:p>
            <w:pPr>
              <w:ind w:right="399" w:firstLine="210" w:firstLineChars="100"/>
              <w:jc w:val="center"/>
              <w:rPr>
                <w:rFonts w:ascii="Times New Roman" w:hAnsi="Times New Roman" w:cs="Times New Roman"/>
              </w:rPr>
            </w:pPr>
            <w:r>
              <w:rPr>
                <w:rFonts w:hint="eastAsia" w:ascii="Times New Roman" w:hAnsi="Times New Roman" w:cs="Times New Roman"/>
              </w:rPr>
              <w:t>10386.54</w:t>
            </w:r>
          </w:p>
        </w:tc>
      </w:tr>
    </w:tbl>
    <w:p>
      <w:pPr>
        <w:tabs>
          <w:tab w:val="left" w:pos="681"/>
        </w:tabs>
        <w:spacing w:before="21" w:after="22"/>
        <w:ind w:right="3"/>
        <w:jc w:val="left"/>
        <w:rPr>
          <w:rFonts w:ascii="Times New Roman" w:hAnsi="Times New Roman" w:eastAsia="仿宋" w:cs="Times New Roman"/>
          <w:b/>
        </w:rPr>
      </w:pPr>
    </w:p>
    <w:p>
      <w:pPr>
        <w:tabs>
          <w:tab w:val="left" w:pos="681"/>
        </w:tabs>
        <w:spacing w:before="21" w:after="22"/>
        <w:ind w:right="3"/>
        <w:jc w:val="left"/>
      </w:pPr>
      <w:r>
        <w:rPr>
          <w:rFonts w:hint="eastAsia" w:ascii="Times New Roman" w:hAnsi="Times New Roman" w:eastAsia="仿宋" w:cs="Times New Roman"/>
          <w:b/>
        </w:rPr>
        <w:t xml:space="preserve">    说明：表42和表43按预算会计口径统计。表43的其他支出主要是支付新校区建设工程债务、离休费、退休人员一次性慰问金、退休“中人”补贴、抚恤金等。</w:t>
      </w:r>
    </w:p>
    <w:p>
      <w:pPr>
        <w:tabs>
          <w:tab w:val="left" w:pos="681"/>
        </w:tabs>
        <w:spacing w:before="21" w:after="22"/>
        <w:ind w:right="3"/>
        <w:jc w:val="center"/>
        <w:rPr>
          <w:rFonts w:ascii="Times New Roman" w:hAnsi="Times New Roman" w:eastAsia="仿宋" w:cs="Times New Roman"/>
          <w:b/>
        </w:rPr>
      </w:pPr>
      <w:r>
        <w:rPr>
          <w:rFonts w:ascii="Times New Roman" w:hAnsi="Times New Roman" w:eastAsia="仿宋" w:cs="Times New Roman"/>
          <w:b/>
        </w:rPr>
        <w:t>表</w:t>
      </w:r>
      <w:r>
        <w:rPr>
          <w:rFonts w:ascii="Times New Roman" w:hAnsi="Times New Roman" w:eastAsia="Times New Roman" w:cs="Times New Roman"/>
          <w:b/>
        </w:rPr>
        <w:t>43 20</w:t>
      </w:r>
      <w:r>
        <w:rPr>
          <w:rFonts w:ascii="Times New Roman" w:hAnsi="Times New Roman" w:cs="Times New Roman"/>
          <w:b/>
        </w:rPr>
        <w:t>20</w:t>
      </w:r>
      <w:r>
        <w:rPr>
          <w:rFonts w:ascii="Times New Roman" w:hAnsi="Times New Roman" w:eastAsia="Times New Roman" w:cs="Times New Roman"/>
          <w:b/>
        </w:rPr>
        <w:t>-2020</w:t>
      </w:r>
      <w:r>
        <w:rPr>
          <w:rFonts w:ascii="Times New Roman" w:hAnsi="Times New Roman" w:eastAsia="Times New Roman" w:cs="Times New Roman"/>
          <w:b/>
          <w:spacing w:val="-9"/>
        </w:rPr>
        <w:t>1</w:t>
      </w:r>
      <w:r>
        <w:rPr>
          <w:rFonts w:ascii="Times New Roman" w:hAnsi="Times New Roman" w:eastAsia="仿宋" w:cs="Times New Roman"/>
          <w:b/>
        </w:rPr>
        <w:t>年办学经费支出情况一览表（单位：万元）</w:t>
      </w:r>
    </w:p>
    <w:tbl>
      <w:tblPr>
        <w:tblStyle w:val="12"/>
        <w:tblW w:w="8844"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195"/>
        <w:gridCol w:w="795"/>
        <w:gridCol w:w="1000"/>
        <w:gridCol w:w="1138"/>
        <w:gridCol w:w="950"/>
        <w:gridCol w:w="1087"/>
        <w:gridCol w:w="913"/>
        <w:gridCol w:w="1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04" w:type="dxa"/>
          </w:tcPr>
          <w:p>
            <w:pPr>
              <w:pStyle w:val="11"/>
              <w:spacing w:before="135"/>
              <w:ind w:left="119" w:right="110"/>
              <w:jc w:val="center"/>
              <w:rPr>
                <w:rFonts w:ascii="Times New Roman" w:hAnsi="Times New Roman" w:eastAsia="仿宋" w:cs="Times New Roman"/>
                <w:b/>
              </w:rPr>
            </w:pPr>
            <w:r>
              <w:rPr>
                <w:rFonts w:ascii="Times New Roman" w:hAnsi="Times New Roman" w:eastAsia="仿宋" w:cs="Times New Roman"/>
                <w:b/>
              </w:rPr>
              <w:t>年度</w:t>
            </w:r>
          </w:p>
        </w:tc>
        <w:tc>
          <w:tcPr>
            <w:tcW w:w="1195" w:type="dxa"/>
          </w:tcPr>
          <w:p>
            <w:pPr>
              <w:pStyle w:val="11"/>
              <w:spacing w:before="1"/>
              <w:ind w:left="49" w:right="41"/>
              <w:jc w:val="center"/>
              <w:rPr>
                <w:rFonts w:ascii="Times New Roman" w:hAnsi="Times New Roman" w:eastAsia="仿宋" w:cs="Times New Roman"/>
                <w:b/>
              </w:rPr>
            </w:pPr>
            <w:r>
              <w:rPr>
                <w:rFonts w:ascii="Times New Roman" w:hAnsi="Times New Roman" w:eastAsia="仿宋" w:cs="Times New Roman"/>
                <w:b/>
              </w:rPr>
              <w:t>教学改革及</w:t>
            </w:r>
          </w:p>
          <w:p>
            <w:pPr>
              <w:pStyle w:val="11"/>
              <w:spacing w:before="2" w:line="253" w:lineRule="exact"/>
              <w:ind w:left="49" w:right="38"/>
              <w:jc w:val="center"/>
              <w:rPr>
                <w:rFonts w:ascii="Times New Roman" w:hAnsi="Times New Roman" w:eastAsia="仿宋" w:cs="Times New Roman"/>
                <w:b/>
              </w:rPr>
            </w:pPr>
            <w:r>
              <w:rPr>
                <w:rFonts w:ascii="Times New Roman" w:hAnsi="Times New Roman" w:eastAsia="仿宋" w:cs="Times New Roman"/>
                <w:b/>
              </w:rPr>
              <w:t>研究费</w:t>
            </w:r>
          </w:p>
        </w:tc>
        <w:tc>
          <w:tcPr>
            <w:tcW w:w="795" w:type="dxa"/>
          </w:tcPr>
          <w:p>
            <w:pPr>
              <w:pStyle w:val="11"/>
              <w:spacing w:before="1"/>
              <w:ind w:left="80"/>
              <w:jc w:val="center"/>
              <w:rPr>
                <w:rFonts w:ascii="Times New Roman" w:hAnsi="Times New Roman" w:eastAsia="仿宋" w:cs="Times New Roman"/>
                <w:b/>
              </w:rPr>
            </w:pPr>
            <w:r>
              <w:rPr>
                <w:rFonts w:ascii="Times New Roman" w:hAnsi="Times New Roman" w:eastAsia="仿宋" w:cs="Times New Roman"/>
                <w:b/>
                <w:w w:val="95"/>
              </w:rPr>
              <w:t>日常教</w:t>
            </w:r>
          </w:p>
          <w:p>
            <w:pPr>
              <w:pStyle w:val="11"/>
              <w:spacing w:before="2" w:line="253" w:lineRule="exact"/>
              <w:ind w:left="80"/>
              <w:jc w:val="center"/>
              <w:rPr>
                <w:rFonts w:ascii="Times New Roman" w:hAnsi="Times New Roman" w:eastAsia="仿宋" w:cs="Times New Roman"/>
                <w:b/>
              </w:rPr>
            </w:pPr>
            <w:r>
              <w:rPr>
                <w:rFonts w:ascii="Times New Roman" w:hAnsi="Times New Roman" w:eastAsia="仿宋" w:cs="Times New Roman"/>
                <w:b/>
                <w:w w:val="95"/>
              </w:rPr>
              <w:t>学经费</w:t>
            </w:r>
          </w:p>
        </w:tc>
        <w:tc>
          <w:tcPr>
            <w:tcW w:w="1000" w:type="dxa"/>
          </w:tcPr>
          <w:p>
            <w:pPr>
              <w:pStyle w:val="11"/>
              <w:spacing w:before="1"/>
              <w:ind w:left="80"/>
              <w:jc w:val="center"/>
              <w:rPr>
                <w:rFonts w:ascii="Times New Roman" w:hAnsi="Times New Roman" w:eastAsia="仿宋" w:cs="Times New Roman"/>
                <w:b/>
              </w:rPr>
            </w:pPr>
            <w:r>
              <w:rPr>
                <w:rFonts w:ascii="Times New Roman" w:hAnsi="Times New Roman" w:eastAsia="仿宋" w:cs="Times New Roman"/>
                <w:b/>
              </w:rPr>
              <w:t>师资队伍</w:t>
            </w:r>
          </w:p>
          <w:p>
            <w:pPr>
              <w:pStyle w:val="11"/>
              <w:spacing w:before="2" w:line="253" w:lineRule="exact"/>
              <w:ind w:left="183"/>
              <w:jc w:val="center"/>
              <w:rPr>
                <w:rFonts w:ascii="Times New Roman" w:hAnsi="Times New Roman" w:eastAsia="仿宋" w:cs="Times New Roman"/>
                <w:b/>
              </w:rPr>
            </w:pPr>
            <w:r>
              <w:rPr>
                <w:rFonts w:ascii="Times New Roman" w:hAnsi="Times New Roman" w:eastAsia="仿宋" w:cs="Times New Roman"/>
                <w:b/>
              </w:rPr>
              <w:t>建设费</w:t>
            </w:r>
          </w:p>
        </w:tc>
        <w:tc>
          <w:tcPr>
            <w:tcW w:w="1138" w:type="dxa"/>
          </w:tcPr>
          <w:p>
            <w:pPr>
              <w:pStyle w:val="11"/>
              <w:spacing w:before="1"/>
              <w:ind w:left="20" w:right="12"/>
              <w:jc w:val="center"/>
              <w:rPr>
                <w:rFonts w:ascii="Times New Roman" w:hAnsi="Times New Roman" w:eastAsia="仿宋" w:cs="Times New Roman"/>
                <w:b/>
              </w:rPr>
            </w:pPr>
            <w:r>
              <w:rPr>
                <w:rFonts w:ascii="Times New Roman" w:hAnsi="Times New Roman" w:eastAsia="仿宋" w:cs="Times New Roman"/>
                <w:b/>
              </w:rPr>
              <w:t>实验实训设</w:t>
            </w:r>
          </w:p>
          <w:p>
            <w:pPr>
              <w:pStyle w:val="11"/>
              <w:spacing w:before="2" w:line="253" w:lineRule="exact"/>
              <w:ind w:left="20" w:right="9"/>
              <w:jc w:val="center"/>
              <w:rPr>
                <w:rFonts w:ascii="Times New Roman" w:hAnsi="Times New Roman" w:eastAsia="仿宋" w:cs="Times New Roman"/>
                <w:b/>
              </w:rPr>
            </w:pPr>
            <w:r>
              <w:rPr>
                <w:rFonts w:ascii="Times New Roman" w:hAnsi="Times New Roman" w:eastAsia="仿宋" w:cs="Times New Roman"/>
                <w:b/>
              </w:rPr>
              <w:t>备购置费</w:t>
            </w:r>
          </w:p>
        </w:tc>
        <w:tc>
          <w:tcPr>
            <w:tcW w:w="950" w:type="dxa"/>
          </w:tcPr>
          <w:p>
            <w:pPr>
              <w:pStyle w:val="11"/>
              <w:spacing w:before="1"/>
              <w:ind w:left="139" w:right="128"/>
              <w:jc w:val="center"/>
              <w:rPr>
                <w:rFonts w:ascii="Times New Roman" w:hAnsi="Times New Roman" w:eastAsia="仿宋" w:cs="Times New Roman"/>
                <w:b/>
              </w:rPr>
            </w:pPr>
            <w:r>
              <w:rPr>
                <w:rFonts w:ascii="Times New Roman" w:hAnsi="Times New Roman" w:eastAsia="仿宋" w:cs="Times New Roman"/>
                <w:b/>
              </w:rPr>
              <w:t>图书</w:t>
            </w:r>
          </w:p>
          <w:p>
            <w:pPr>
              <w:pStyle w:val="11"/>
              <w:spacing w:before="2" w:line="253" w:lineRule="exact"/>
              <w:ind w:left="139" w:right="128"/>
              <w:jc w:val="center"/>
              <w:rPr>
                <w:rFonts w:ascii="Times New Roman" w:hAnsi="Times New Roman" w:eastAsia="仿宋" w:cs="Times New Roman"/>
                <w:b/>
              </w:rPr>
            </w:pPr>
            <w:r>
              <w:rPr>
                <w:rFonts w:ascii="Times New Roman" w:hAnsi="Times New Roman" w:eastAsia="仿宋" w:cs="Times New Roman"/>
                <w:b/>
              </w:rPr>
              <w:t>购置费</w:t>
            </w:r>
          </w:p>
        </w:tc>
        <w:tc>
          <w:tcPr>
            <w:tcW w:w="1087" w:type="dxa"/>
          </w:tcPr>
          <w:p>
            <w:pPr>
              <w:pStyle w:val="11"/>
              <w:spacing w:before="1"/>
              <w:ind w:left="18"/>
              <w:jc w:val="center"/>
              <w:rPr>
                <w:rFonts w:ascii="Times New Roman" w:hAnsi="Times New Roman" w:eastAsia="仿宋" w:cs="Times New Roman"/>
                <w:b/>
              </w:rPr>
            </w:pPr>
            <w:r>
              <w:rPr>
                <w:rFonts w:ascii="Times New Roman" w:hAnsi="Times New Roman" w:eastAsia="仿宋" w:cs="Times New Roman"/>
                <w:b/>
                <w:spacing w:val="-3"/>
                <w:w w:val="95"/>
              </w:rPr>
              <w:t>校园基础设</w:t>
            </w:r>
          </w:p>
          <w:p>
            <w:pPr>
              <w:pStyle w:val="11"/>
              <w:spacing w:before="2" w:line="253" w:lineRule="exact"/>
              <w:ind w:left="121"/>
              <w:jc w:val="center"/>
              <w:rPr>
                <w:rFonts w:ascii="Times New Roman" w:hAnsi="Times New Roman" w:eastAsia="仿宋" w:cs="Times New Roman"/>
                <w:b/>
              </w:rPr>
            </w:pPr>
            <w:r>
              <w:rPr>
                <w:rFonts w:ascii="Times New Roman" w:hAnsi="Times New Roman" w:eastAsia="仿宋" w:cs="Times New Roman"/>
                <w:b/>
                <w:w w:val="95"/>
              </w:rPr>
              <w:t>施建设费</w:t>
            </w:r>
          </w:p>
        </w:tc>
        <w:tc>
          <w:tcPr>
            <w:tcW w:w="913" w:type="dxa"/>
          </w:tcPr>
          <w:p>
            <w:pPr>
              <w:pStyle w:val="11"/>
              <w:jc w:val="center"/>
              <w:rPr>
                <w:rFonts w:ascii="Times New Roman" w:hAnsi="Times New Roman" w:eastAsia="仿宋" w:cs="Times New Roman"/>
                <w:b/>
              </w:rPr>
            </w:pPr>
            <w:r>
              <w:rPr>
                <w:rFonts w:ascii="Times New Roman" w:hAnsi="Times New Roman" w:eastAsia="仿宋" w:cs="Times New Roman"/>
                <w:b/>
                <w:w w:val="95"/>
              </w:rPr>
              <w:t>其他</w:t>
            </w:r>
          </w:p>
          <w:p>
            <w:pPr>
              <w:pStyle w:val="11"/>
              <w:spacing w:line="253" w:lineRule="exact"/>
              <w:jc w:val="center"/>
              <w:rPr>
                <w:rFonts w:ascii="Times New Roman" w:hAnsi="Times New Roman" w:eastAsia="仿宋" w:cs="Times New Roman"/>
                <w:b/>
              </w:rPr>
            </w:pPr>
            <w:r>
              <w:rPr>
                <w:rFonts w:ascii="Times New Roman" w:hAnsi="Times New Roman" w:eastAsia="仿宋" w:cs="Times New Roman"/>
                <w:b/>
                <w:w w:val="95"/>
              </w:rPr>
              <w:t>支出</w:t>
            </w:r>
          </w:p>
        </w:tc>
        <w:tc>
          <w:tcPr>
            <w:tcW w:w="1062" w:type="dxa"/>
          </w:tcPr>
          <w:p>
            <w:pPr>
              <w:pStyle w:val="11"/>
              <w:spacing w:before="135"/>
              <w:ind w:left="166" w:right="158"/>
              <w:jc w:val="center"/>
              <w:rPr>
                <w:rFonts w:ascii="Times New Roman" w:hAnsi="Times New Roman" w:eastAsia="仿宋" w:cs="Times New Roman"/>
                <w:b/>
              </w:rPr>
            </w:pPr>
            <w:r>
              <w:rPr>
                <w:rFonts w:ascii="Times New Roman" w:hAnsi="Times New Roman" w:eastAsia="仿宋" w:cs="Times New Roman"/>
                <w:b/>
              </w:rPr>
              <w:t>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704" w:type="dxa"/>
          </w:tcPr>
          <w:p>
            <w:pPr>
              <w:pStyle w:val="11"/>
              <w:spacing w:line="300" w:lineRule="exact"/>
              <w:jc w:val="center"/>
              <w:rPr>
                <w:rFonts w:ascii="Times New Roman" w:hAnsi="Times New Roman" w:cs="Times New Roman"/>
                <w:b/>
              </w:rPr>
            </w:pPr>
            <w:r>
              <w:rPr>
                <w:rFonts w:ascii="Times New Roman" w:hAnsi="Times New Roman" w:cs="Times New Roman"/>
                <w:b/>
              </w:rPr>
              <w:t>2020</w:t>
            </w:r>
          </w:p>
        </w:tc>
        <w:tc>
          <w:tcPr>
            <w:tcW w:w="1195" w:type="dxa"/>
          </w:tcPr>
          <w:p>
            <w:pPr>
              <w:spacing w:line="221" w:lineRule="exact"/>
              <w:ind w:left="361"/>
              <w:jc w:val="center"/>
              <w:rPr>
                <w:rFonts w:ascii="Times New Roman" w:hAnsi="Times New Roman" w:cs="Times New Roman"/>
              </w:rPr>
            </w:pPr>
            <w:r>
              <w:rPr>
                <w:rFonts w:hint="eastAsia" w:ascii="Times New Roman" w:hAnsi="Times New Roman" w:cs="Times New Roman"/>
              </w:rPr>
              <w:t>0.7</w:t>
            </w:r>
          </w:p>
        </w:tc>
        <w:tc>
          <w:tcPr>
            <w:tcW w:w="795" w:type="dxa"/>
          </w:tcPr>
          <w:p>
            <w:pPr>
              <w:spacing w:line="221" w:lineRule="exact"/>
              <w:ind w:left="34" w:right="27"/>
              <w:jc w:val="center"/>
              <w:rPr>
                <w:rFonts w:ascii="Times New Roman" w:hAnsi="Times New Roman" w:cs="Times New Roman"/>
              </w:rPr>
            </w:pPr>
            <w:r>
              <w:rPr>
                <w:rFonts w:hint="eastAsia" w:ascii="Times New Roman" w:hAnsi="Times New Roman" w:cs="Times New Roman"/>
              </w:rPr>
              <w:t>2838.13</w:t>
            </w:r>
          </w:p>
        </w:tc>
        <w:tc>
          <w:tcPr>
            <w:tcW w:w="1000" w:type="dxa"/>
          </w:tcPr>
          <w:p>
            <w:pPr>
              <w:spacing w:line="221" w:lineRule="exact"/>
              <w:ind w:left="243" w:right="234"/>
              <w:jc w:val="center"/>
              <w:rPr>
                <w:rFonts w:ascii="Times New Roman" w:hAnsi="Times New Roman" w:cs="Times New Roman"/>
              </w:rPr>
            </w:pPr>
            <w:r>
              <w:rPr>
                <w:rFonts w:hint="eastAsia" w:ascii="Times New Roman" w:hAnsi="Times New Roman" w:cs="Times New Roman"/>
              </w:rPr>
              <w:t>17.59</w:t>
            </w:r>
          </w:p>
        </w:tc>
        <w:tc>
          <w:tcPr>
            <w:tcW w:w="1138" w:type="dxa"/>
          </w:tcPr>
          <w:p>
            <w:pPr>
              <w:spacing w:line="221" w:lineRule="exact"/>
              <w:ind w:left="20" w:right="10"/>
              <w:jc w:val="center"/>
              <w:rPr>
                <w:rFonts w:ascii="Times New Roman" w:hAnsi="Times New Roman" w:cs="Times New Roman"/>
              </w:rPr>
            </w:pPr>
            <w:r>
              <w:rPr>
                <w:rFonts w:hint="eastAsia" w:ascii="Times New Roman" w:hAnsi="Times New Roman" w:cs="Times New Roman"/>
              </w:rPr>
              <w:t>0.85</w:t>
            </w:r>
          </w:p>
        </w:tc>
        <w:tc>
          <w:tcPr>
            <w:tcW w:w="950" w:type="dxa"/>
          </w:tcPr>
          <w:p>
            <w:pPr>
              <w:spacing w:line="221" w:lineRule="exact"/>
              <w:ind w:left="7"/>
              <w:jc w:val="center"/>
              <w:rPr>
                <w:rFonts w:ascii="Times New Roman" w:hAnsi="Times New Roman" w:cs="Times New Roman"/>
              </w:rPr>
            </w:pPr>
            <w:r>
              <w:rPr>
                <w:rFonts w:hint="eastAsia" w:ascii="Times New Roman" w:hAnsi="Times New Roman" w:cs="Times New Roman"/>
              </w:rPr>
              <w:t>0</w:t>
            </w:r>
          </w:p>
        </w:tc>
        <w:tc>
          <w:tcPr>
            <w:tcW w:w="1087" w:type="dxa"/>
          </w:tcPr>
          <w:p>
            <w:pPr>
              <w:spacing w:line="221" w:lineRule="exact"/>
              <w:ind w:left="287" w:right="277"/>
              <w:jc w:val="center"/>
              <w:rPr>
                <w:rFonts w:ascii="Times New Roman" w:hAnsi="Times New Roman" w:cs="Times New Roman"/>
              </w:rPr>
            </w:pPr>
            <w:r>
              <w:rPr>
                <w:rFonts w:hint="eastAsia" w:ascii="Times New Roman" w:hAnsi="Times New Roman" w:cs="Times New Roman"/>
              </w:rPr>
              <w:t>0</w:t>
            </w:r>
          </w:p>
        </w:tc>
        <w:tc>
          <w:tcPr>
            <w:tcW w:w="913" w:type="dxa"/>
          </w:tcPr>
          <w:p>
            <w:pPr>
              <w:spacing w:line="221" w:lineRule="exact"/>
              <w:ind w:right="155"/>
              <w:jc w:val="center"/>
              <w:rPr>
                <w:rFonts w:ascii="Times New Roman" w:hAnsi="Times New Roman" w:cs="Times New Roman"/>
              </w:rPr>
            </w:pPr>
            <w:r>
              <w:rPr>
                <w:rFonts w:hint="eastAsia" w:ascii="Times New Roman" w:hAnsi="Times New Roman" w:cs="Times New Roman"/>
              </w:rPr>
              <w:t>2176.62</w:t>
            </w:r>
          </w:p>
        </w:tc>
        <w:tc>
          <w:tcPr>
            <w:tcW w:w="1062" w:type="dxa"/>
          </w:tcPr>
          <w:p>
            <w:pPr>
              <w:spacing w:line="221" w:lineRule="exact"/>
              <w:ind w:left="170" w:right="158"/>
              <w:jc w:val="center"/>
              <w:rPr>
                <w:rFonts w:ascii="Times New Roman" w:hAnsi="Times New Roman" w:cs="Times New Roman"/>
              </w:rPr>
            </w:pPr>
            <w:r>
              <w:rPr>
                <w:rFonts w:hint="eastAsia" w:ascii="Times New Roman" w:hAnsi="Times New Roman" w:cs="Times New Roman"/>
              </w:rPr>
              <w:t>5033.89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4" w:type="dxa"/>
          </w:tcPr>
          <w:p>
            <w:pPr>
              <w:pStyle w:val="11"/>
              <w:spacing w:line="300" w:lineRule="exact"/>
              <w:jc w:val="center"/>
              <w:rPr>
                <w:rFonts w:ascii="Times New Roman" w:hAnsi="Times New Roman" w:cs="Times New Roman"/>
                <w:b/>
              </w:rPr>
            </w:pPr>
            <w:r>
              <w:rPr>
                <w:rFonts w:ascii="Times New Roman" w:hAnsi="Times New Roman" w:cs="Times New Roman"/>
                <w:b/>
              </w:rPr>
              <w:t>2021</w:t>
            </w:r>
          </w:p>
        </w:tc>
        <w:tc>
          <w:tcPr>
            <w:tcW w:w="1195" w:type="dxa"/>
          </w:tcPr>
          <w:p>
            <w:pPr>
              <w:spacing w:before="20"/>
              <w:ind w:left="361"/>
              <w:jc w:val="center"/>
              <w:rPr>
                <w:rFonts w:ascii="Times New Roman" w:hAnsi="Times New Roman" w:cs="Times New Roman"/>
              </w:rPr>
            </w:pPr>
            <w:r>
              <w:rPr>
                <w:rFonts w:hint="eastAsia" w:ascii="Times New Roman" w:hAnsi="Times New Roman" w:cs="Times New Roman"/>
              </w:rPr>
              <w:t>1.48</w:t>
            </w:r>
          </w:p>
        </w:tc>
        <w:tc>
          <w:tcPr>
            <w:tcW w:w="795" w:type="dxa"/>
          </w:tcPr>
          <w:p>
            <w:pPr>
              <w:spacing w:before="20"/>
              <w:ind w:left="34" w:right="27"/>
              <w:jc w:val="center"/>
              <w:rPr>
                <w:rFonts w:ascii="Times New Roman" w:hAnsi="Times New Roman" w:cs="Times New Roman"/>
              </w:rPr>
            </w:pPr>
            <w:r>
              <w:rPr>
                <w:rFonts w:hint="eastAsia" w:ascii="Times New Roman" w:hAnsi="Times New Roman" w:cs="Times New Roman"/>
              </w:rPr>
              <w:t>2498.93</w:t>
            </w:r>
          </w:p>
        </w:tc>
        <w:tc>
          <w:tcPr>
            <w:tcW w:w="1000" w:type="dxa"/>
          </w:tcPr>
          <w:p>
            <w:pPr>
              <w:spacing w:before="20"/>
              <w:ind w:left="243" w:right="234"/>
              <w:jc w:val="center"/>
              <w:rPr>
                <w:rFonts w:ascii="Times New Roman" w:hAnsi="Times New Roman" w:cs="Times New Roman"/>
              </w:rPr>
            </w:pPr>
            <w:r>
              <w:rPr>
                <w:rFonts w:hint="eastAsia" w:ascii="Times New Roman" w:hAnsi="Times New Roman" w:cs="Times New Roman"/>
              </w:rPr>
              <w:t>25.43</w:t>
            </w:r>
          </w:p>
        </w:tc>
        <w:tc>
          <w:tcPr>
            <w:tcW w:w="1138" w:type="dxa"/>
          </w:tcPr>
          <w:p>
            <w:pPr>
              <w:spacing w:before="20"/>
              <w:ind w:left="20" w:right="10"/>
              <w:jc w:val="center"/>
              <w:rPr>
                <w:rFonts w:ascii="Times New Roman" w:hAnsi="Times New Roman" w:cs="Times New Roman"/>
              </w:rPr>
            </w:pPr>
            <w:r>
              <w:rPr>
                <w:rFonts w:hint="eastAsia" w:ascii="Times New Roman" w:hAnsi="Times New Roman" w:cs="Times New Roman"/>
              </w:rPr>
              <w:t>22.99</w:t>
            </w:r>
          </w:p>
        </w:tc>
        <w:tc>
          <w:tcPr>
            <w:tcW w:w="950" w:type="dxa"/>
          </w:tcPr>
          <w:p>
            <w:pPr>
              <w:spacing w:before="20"/>
              <w:ind w:left="7"/>
              <w:jc w:val="center"/>
              <w:rPr>
                <w:rFonts w:ascii="Times New Roman" w:hAnsi="Times New Roman" w:cs="Times New Roman"/>
              </w:rPr>
            </w:pPr>
            <w:r>
              <w:rPr>
                <w:rFonts w:hint="eastAsia" w:ascii="Times New Roman" w:hAnsi="Times New Roman" w:cs="Times New Roman"/>
              </w:rPr>
              <w:t>0</w:t>
            </w:r>
          </w:p>
        </w:tc>
        <w:tc>
          <w:tcPr>
            <w:tcW w:w="1087" w:type="dxa"/>
          </w:tcPr>
          <w:p>
            <w:pPr>
              <w:spacing w:before="20"/>
              <w:ind w:right="277"/>
              <w:jc w:val="center"/>
              <w:rPr>
                <w:rFonts w:ascii="Times New Roman" w:hAnsi="Times New Roman" w:cs="Times New Roman"/>
              </w:rPr>
            </w:pPr>
            <w:r>
              <w:rPr>
                <w:rFonts w:hint="eastAsia" w:ascii="Times New Roman" w:hAnsi="Times New Roman" w:cs="Times New Roman"/>
              </w:rPr>
              <w:t>166.87</w:t>
            </w:r>
          </w:p>
        </w:tc>
        <w:tc>
          <w:tcPr>
            <w:tcW w:w="913" w:type="dxa"/>
          </w:tcPr>
          <w:p>
            <w:pPr>
              <w:spacing w:before="20"/>
              <w:jc w:val="center"/>
              <w:rPr>
                <w:rFonts w:ascii="Times New Roman" w:hAnsi="Times New Roman" w:cs="Times New Roman"/>
              </w:rPr>
            </w:pPr>
            <w:r>
              <w:rPr>
                <w:rFonts w:hint="eastAsia" w:ascii="Times New Roman" w:hAnsi="Times New Roman" w:cs="Times New Roman"/>
              </w:rPr>
              <w:t>2636.95</w:t>
            </w:r>
          </w:p>
        </w:tc>
        <w:tc>
          <w:tcPr>
            <w:tcW w:w="1062" w:type="dxa"/>
          </w:tcPr>
          <w:p>
            <w:pPr>
              <w:spacing w:before="20"/>
              <w:ind w:left="170" w:right="158"/>
              <w:jc w:val="center"/>
              <w:rPr>
                <w:rFonts w:ascii="Times New Roman" w:hAnsi="Times New Roman" w:cs="Times New Roman"/>
              </w:rPr>
            </w:pPr>
            <w:r>
              <w:rPr>
                <w:rFonts w:hint="eastAsia" w:ascii="Times New Roman" w:hAnsi="Times New Roman" w:cs="Times New Roman"/>
              </w:rPr>
              <w:t>5352.65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704" w:type="dxa"/>
          </w:tcPr>
          <w:p>
            <w:pPr>
              <w:pStyle w:val="11"/>
              <w:spacing w:before="5" w:line="259" w:lineRule="exact"/>
              <w:ind w:left="119" w:right="110"/>
              <w:rPr>
                <w:rFonts w:ascii="Times New Roman" w:hAnsi="Times New Roman" w:eastAsia="仿宋" w:cs="Times New Roman"/>
                <w:b/>
              </w:rPr>
            </w:pPr>
            <w:r>
              <w:rPr>
                <w:rFonts w:ascii="Times New Roman" w:hAnsi="Times New Roman" w:eastAsia="仿宋" w:cs="Times New Roman"/>
                <w:b/>
              </w:rPr>
              <w:t>总计</w:t>
            </w:r>
          </w:p>
        </w:tc>
        <w:tc>
          <w:tcPr>
            <w:tcW w:w="1195" w:type="dxa"/>
          </w:tcPr>
          <w:p>
            <w:pPr>
              <w:spacing w:before="21"/>
              <w:ind w:left="361"/>
              <w:jc w:val="center"/>
              <w:rPr>
                <w:rFonts w:ascii="Times New Roman" w:hAnsi="Times New Roman" w:cs="Times New Roman"/>
              </w:rPr>
            </w:pPr>
            <w:r>
              <w:rPr>
                <w:rFonts w:hint="eastAsia" w:ascii="Times New Roman" w:hAnsi="Times New Roman" w:cs="Times New Roman"/>
              </w:rPr>
              <w:t>2.18</w:t>
            </w:r>
          </w:p>
        </w:tc>
        <w:tc>
          <w:tcPr>
            <w:tcW w:w="795" w:type="dxa"/>
          </w:tcPr>
          <w:p>
            <w:pPr>
              <w:spacing w:before="21"/>
              <w:ind w:left="34" w:right="27"/>
              <w:jc w:val="center"/>
              <w:rPr>
                <w:rFonts w:ascii="Times New Roman" w:hAnsi="Times New Roman" w:cs="Times New Roman"/>
              </w:rPr>
            </w:pPr>
            <w:r>
              <w:rPr>
                <w:rFonts w:hint="eastAsia" w:ascii="Times New Roman" w:hAnsi="Times New Roman" w:cs="Times New Roman"/>
              </w:rPr>
              <w:t>5337.06</w:t>
            </w:r>
          </w:p>
        </w:tc>
        <w:tc>
          <w:tcPr>
            <w:tcW w:w="1000" w:type="dxa"/>
          </w:tcPr>
          <w:p>
            <w:pPr>
              <w:spacing w:before="21"/>
              <w:ind w:left="243" w:right="234"/>
              <w:jc w:val="center"/>
              <w:rPr>
                <w:rFonts w:ascii="Times New Roman" w:hAnsi="Times New Roman" w:cs="Times New Roman"/>
              </w:rPr>
            </w:pPr>
            <w:r>
              <w:rPr>
                <w:rFonts w:hint="eastAsia" w:ascii="Times New Roman" w:hAnsi="Times New Roman" w:cs="Times New Roman"/>
              </w:rPr>
              <w:t>43.02</w:t>
            </w:r>
          </w:p>
        </w:tc>
        <w:tc>
          <w:tcPr>
            <w:tcW w:w="1138" w:type="dxa"/>
          </w:tcPr>
          <w:p>
            <w:pPr>
              <w:spacing w:before="21"/>
              <w:ind w:left="20" w:right="10"/>
              <w:jc w:val="center"/>
              <w:rPr>
                <w:rFonts w:ascii="Times New Roman" w:hAnsi="Times New Roman" w:cs="Times New Roman"/>
              </w:rPr>
            </w:pPr>
            <w:r>
              <w:rPr>
                <w:rFonts w:hint="eastAsia" w:ascii="Times New Roman" w:hAnsi="Times New Roman" w:cs="Times New Roman"/>
              </w:rPr>
              <w:t>23.84</w:t>
            </w:r>
          </w:p>
        </w:tc>
        <w:tc>
          <w:tcPr>
            <w:tcW w:w="950" w:type="dxa"/>
          </w:tcPr>
          <w:p>
            <w:pPr>
              <w:spacing w:before="21"/>
              <w:ind w:left="7"/>
              <w:jc w:val="center"/>
              <w:rPr>
                <w:rFonts w:ascii="Times New Roman" w:hAnsi="Times New Roman" w:cs="Times New Roman"/>
              </w:rPr>
            </w:pPr>
            <w:r>
              <w:rPr>
                <w:rFonts w:hint="eastAsia" w:ascii="Times New Roman" w:hAnsi="Times New Roman" w:cs="Times New Roman"/>
              </w:rPr>
              <w:t>0</w:t>
            </w:r>
          </w:p>
        </w:tc>
        <w:tc>
          <w:tcPr>
            <w:tcW w:w="1087" w:type="dxa"/>
          </w:tcPr>
          <w:p>
            <w:pPr>
              <w:spacing w:before="21"/>
              <w:ind w:right="277"/>
              <w:jc w:val="center"/>
              <w:rPr>
                <w:rFonts w:ascii="Times New Roman" w:hAnsi="Times New Roman" w:cs="Times New Roman"/>
              </w:rPr>
            </w:pPr>
            <w:r>
              <w:rPr>
                <w:rFonts w:hint="eastAsia" w:ascii="Times New Roman" w:hAnsi="Times New Roman" w:cs="Times New Roman"/>
              </w:rPr>
              <w:t>166.87</w:t>
            </w:r>
          </w:p>
        </w:tc>
        <w:tc>
          <w:tcPr>
            <w:tcW w:w="913" w:type="dxa"/>
          </w:tcPr>
          <w:p>
            <w:pPr>
              <w:spacing w:before="21"/>
              <w:ind w:right="103"/>
              <w:jc w:val="center"/>
              <w:rPr>
                <w:rFonts w:ascii="Times New Roman" w:hAnsi="Times New Roman" w:cs="Times New Roman"/>
              </w:rPr>
            </w:pPr>
            <w:r>
              <w:rPr>
                <w:rFonts w:hint="eastAsia" w:ascii="Times New Roman" w:hAnsi="Times New Roman" w:cs="Times New Roman"/>
              </w:rPr>
              <w:t>4813.57</w:t>
            </w:r>
          </w:p>
        </w:tc>
        <w:tc>
          <w:tcPr>
            <w:tcW w:w="1062" w:type="dxa"/>
          </w:tcPr>
          <w:p>
            <w:pPr>
              <w:spacing w:before="21"/>
              <w:ind w:right="158"/>
              <w:jc w:val="center"/>
              <w:rPr>
                <w:rFonts w:ascii="Times New Roman" w:hAnsi="Times New Roman" w:cs="Times New Roman"/>
              </w:rPr>
            </w:pPr>
            <w:r>
              <w:rPr>
                <w:rFonts w:hint="eastAsia" w:ascii="Times New Roman" w:hAnsi="Times New Roman" w:cs="Times New Roman"/>
              </w:rPr>
              <w:t>10386.54</w:t>
            </w:r>
          </w:p>
        </w:tc>
      </w:tr>
    </w:tbl>
    <w:p>
      <w:pPr>
        <w:pStyle w:val="3"/>
        <w:spacing w:line="580" w:lineRule="exact"/>
        <w:ind w:left="0" w:firstLine="640" w:firstLineChars="200"/>
        <w:rPr>
          <w:rFonts w:hint="eastAsia" w:ascii="Times New Roman" w:hAnsi="Times New Roman" w:eastAsia="楷体_GB2312" w:cs="Times New Roman"/>
          <w:b w:val="0"/>
          <w:lang w:eastAsia="zh-CN"/>
        </w:rPr>
      </w:pPr>
      <w:r>
        <w:rPr>
          <w:rFonts w:ascii="Times New Roman" w:hAnsi="Times New Roman" w:eastAsia="楷体_GB2312" w:cs="Times New Roman"/>
          <w:b w:val="0"/>
        </w:rPr>
        <w:t>（二）政策措施。</w:t>
      </w:r>
    </w:p>
    <w:p>
      <w:pPr>
        <w:widowControl/>
        <w:ind w:firstLine="640" w:firstLineChars="200"/>
        <w:jc w:val="left"/>
        <w:rPr>
          <w:rFonts w:ascii="Times New Roman" w:hAnsi="Times New Roman" w:eastAsia="仿宋_GB2312" w:cs="Times New Roman"/>
          <w:sz w:val="32"/>
        </w:rPr>
      </w:pPr>
      <w:r>
        <w:rPr>
          <w:rFonts w:hint="eastAsia" w:ascii="Times New Roman" w:hAnsi="Times New Roman" w:eastAsia="仿宋_GB2312" w:cs="Times New Roman"/>
          <w:sz w:val="32"/>
        </w:rPr>
        <w:t>学校始终把落实办学自主权作为增强办学内生动力的基础，也是增强自我管理、自我约束的现实需要。一是强化课程实施主体责任。严格按照国家课程方案和课程标准，结合实际构建了基于学校办学理念和特色的校本课程，2015年在市政府的牵头下，参与了“中德职业教育试点推广项目”，几年来通过教师的努力，在德方专家的指导下开发了《中德汽车项目维修考试大纲手册》、《教学法手册》、《学校质量管理手册》、《机械综合技术理论》、《数控铣床工作页》等多本中德项目手册和校本教材。二是强化专业建设合理性，学校根据《全国技工院校专业目录》（2018年）结合地方经济发展，自主设计开设专业，2020年新增了机器人应用与维修、多媒体制作、现代物流、数控加工（加工中心操作工）4个专业，新建了“大数据”“电竞”等实训室。</w:t>
      </w:r>
    </w:p>
    <w:p>
      <w:pPr>
        <w:widowControl/>
        <w:ind w:firstLine="640" w:firstLineChars="200"/>
        <w:jc w:val="left"/>
        <w:rPr>
          <w:rFonts w:ascii="Times New Roman" w:hAnsi="Times New Roman" w:eastAsia="仿宋_GB2312" w:cs="Times New Roman"/>
          <w:sz w:val="32"/>
        </w:rPr>
      </w:pPr>
      <w:r>
        <w:rPr>
          <w:rFonts w:hint="eastAsia" w:ascii="Times New Roman" w:hAnsi="Times New Roman" w:eastAsia="仿宋_GB2312" w:cs="Times New Roman"/>
          <w:sz w:val="32"/>
        </w:rPr>
        <w:t>学校积极探索规范化制度建设，坚持问题导向，发现问题，解决问题。按照“问题项目化（问题聚焦为项目）、项目具体化（项目分解为具体条目）、具体流程化（具体条目解剖为流程条款）、流程责任化（流程落实到具体人的责任）”的理念和思路，将过去成功的做法用文字固化下来、将需要解决的问题找出来并研究出解决的办法再固化下来、将上级的要求落实到学校工作实际中去，坚持科学决策、民主决策、依法决策，让各项工作的落实者成为学校文件的起草者。通过努力，形成了170多个做事、管人的规范性文件，完成了学校治理现代化制度建设的主要任务。比如加强党的建设，印发了《“三重一大”集体决策制度实施办法（试行）》、《关于加强领导干部日常管理监督的若干规定（试行）》、《党委议事规则（修订稿）》等制度，健全了党建工作制度体系；加强行政工作建设，印发了各年度《工作要点》、《工作目标考核办法》、《奖励性绩效工资考核分配方案》、《岗位竞聘实施方案》等制度，构建了行政工作制度体系；加强教育教学建设，印发了各学期《教研工作计划》、《实习材料管理暂行办法》、《教材管理制度》等制度，构建了教育教学工作制度体系；加强后勤服务工作建设，印发了《资产管理试行办法》、《安全事故处置应急预案》、《公务用车管理暂行办法》等制度，构建了后勤服务工作制度体系，加强学生工作，印发了《班级综合考核及班主任津贴发放暂行办法》、《控流保学暂行办法》、《家庭经济困难学生认定及助学金发放暂行办法》、《学生顶岗实习管理办法》等制度。这些制度明确了学校各项工作要做那些事，由谁来做，做成什么样子，有依有据，有责有权，有主有次，各负其责，主动作为，充分调动了老师们的积极性主动性，激发了学校活力。同时，这些制度的起草和讨论体现了全校师生的共同意志，经过一个时期的运行和实践，又能转化为全校师生的行为和文化，从而不断凝聚学校发展的向心力，激发学校的教育教学活力。</w:t>
      </w:r>
    </w:p>
    <w:p>
      <w:pPr>
        <w:pStyle w:val="2"/>
        <w:numPr>
          <w:ilvl w:val="0"/>
          <w:numId w:val="2"/>
        </w:numPr>
        <w:spacing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特色创新</w:t>
      </w:r>
    </w:p>
    <w:p>
      <w:pPr>
        <w:rPr>
          <w:rFonts w:ascii="Times New Roman" w:hAnsi="Times New Roman" w:eastAsia="仿宋_GB2312" w:cs="Times New Roman"/>
          <w:sz w:val="32"/>
        </w:rPr>
      </w:pPr>
      <w:r>
        <w:rPr>
          <w:rFonts w:hint="eastAsia"/>
        </w:rPr>
        <w:t xml:space="preserve">        </w:t>
      </w:r>
      <w:r>
        <w:rPr>
          <w:rFonts w:hint="eastAsia" w:ascii="Times New Roman" w:hAnsi="Times New Roman" w:eastAsia="仿宋_GB2312" w:cs="Times New Roman"/>
          <w:sz w:val="32"/>
        </w:rPr>
        <w:t>典型案例一：中德合作助力产教融合典型案例（见附件1）。</w:t>
      </w:r>
    </w:p>
    <w:p>
      <w:pPr>
        <w:pStyle w:val="5"/>
      </w:pPr>
      <w:r>
        <w:rPr>
          <w:rFonts w:hint="eastAsia" w:ascii="Times New Roman" w:hAnsi="Times New Roman" w:eastAsia="仿宋_GB2312" w:cs="Times New Roman"/>
        </w:rPr>
        <w:t xml:space="preserve">     典型案例二：</w:t>
      </w:r>
      <w:r>
        <w:rPr>
          <w:rFonts w:hint="eastAsia" w:ascii="Times New Roman" w:hAnsi="Times New Roman" w:eastAsia="仿宋_GB2312" w:cs="Times New Roman"/>
          <w:szCs w:val="24"/>
        </w:rPr>
        <w:t>推进企业新型学徒制服务产业转型升级典型</w:t>
      </w:r>
      <w:bookmarkStart w:id="4" w:name="_GoBack"/>
      <w:r>
        <w:rPr>
          <w:rFonts w:hint="eastAsia" w:ascii="Times New Roman" w:hAnsi="Times New Roman" w:eastAsia="仿宋_GB2312" w:cs="Times New Roman"/>
          <w:szCs w:val="24"/>
        </w:rPr>
        <w:t>案例（见附件2）。</w:t>
      </w:r>
    </w:p>
    <w:bookmarkEnd w:id="4"/>
    <w:p>
      <w:pPr>
        <w:pStyle w:val="2"/>
        <w:spacing w:line="580" w:lineRule="exact"/>
        <w:ind w:firstLine="640" w:firstLineChars="200"/>
        <w:rPr>
          <w:rFonts w:hint="eastAsia" w:ascii="Times New Roman" w:hAnsi="Times New Roman" w:eastAsia="黑体" w:cs="Times New Roman"/>
          <w:color w:val="FF0000"/>
          <w:sz w:val="32"/>
          <w:szCs w:val="32"/>
          <w:lang w:eastAsia="zh-CN"/>
        </w:rPr>
      </w:pPr>
      <w:r>
        <w:rPr>
          <w:rFonts w:ascii="Times New Roman" w:hAnsi="Times New Roman" w:eastAsia="黑体" w:cs="Times New Roman"/>
          <w:sz w:val="32"/>
          <w:szCs w:val="32"/>
        </w:rPr>
        <w:t>十一、面临挑战和改进措施</w:t>
      </w:r>
    </w:p>
    <w:p>
      <w:pPr>
        <w:tabs>
          <w:tab w:val="left" w:pos="1071"/>
        </w:tabs>
        <w:spacing w:line="580" w:lineRule="exact"/>
        <w:ind w:firstLine="640" w:firstLineChars="200"/>
        <w:rPr>
          <w:rFonts w:ascii="Times New Roman" w:hAnsi="Times New Roman" w:eastAsia="仿宋_GB2312" w:cs="Times New Roman"/>
          <w:sz w:val="32"/>
        </w:rPr>
      </w:pPr>
      <w:r>
        <w:rPr>
          <w:rFonts w:ascii="Times New Roman" w:hAnsi="Times New Roman" w:eastAsia="仿宋_GB2312" w:cs="Times New Roman"/>
          <w:sz w:val="32"/>
        </w:rPr>
        <w:t>针对人才培养中存在的问题，分析主要原因，提出解决问题的具体措施。</w:t>
      </w:r>
    </w:p>
    <w:p>
      <w:pPr>
        <w:tabs>
          <w:tab w:val="left" w:pos="1071"/>
        </w:tabs>
        <w:spacing w:line="580" w:lineRule="exact"/>
        <w:ind w:firstLine="640" w:firstLineChars="200"/>
        <w:rPr>
          <w:rFonts w:ascii="仿宋" w:hAnsi="仿宋" w:eastAsia="仿宋"/>
          <w:sz w:val="32"/>
          <w:szCs w:val="32"/>
        </w:rPr>
      </w:pPr>
      <w:r>
        <w:rPr>
          <w:rFonts w:ascii="仿宋" w:hAnsi="仿宋" w:eastAsia="仿宋"/>
          <w:sz w:val="32"/>
          <w:szCs w:val="32"/>
        </w:rPr>
        <w:t>学校</w:t>
      </w:r>
      <w:r>
        <w:rPr>
          <w:rFonts w:hint="eastAsia" w:ascii="仿宋" w:hAnsi="仿宋" w:eastAsia="仿宋"/>
          <w:sz w:val="32"/>
          <w:szCs w:val="32"/>
        </w:rPr>
        <w:t>人才培养中仍存在专业结构不合理，专业设置未能完全满足社会需求，专业建设投入不足，部分专业教学模式和方法陈旧，专业特色不明显等问题，其主要原因是人才培养模式思路狭窄、教学理念未及时更新、教师企业实践经验不足、学校债务问题影响了建设投入。下一步学校拟在以下方面加快改进完善：</w:t>
      </w:r>
    </w:p>
    <w:p>
      <w:pPr>
        <w:pBdr>
          <w:bottom w:val="single" w:color="FFFFFF" w:sz="4" w:space="31"/>
        </w:pBdr>
        <w:adjustRightInd w:val="0"/>
        <w:snapToGrid w:val="0"/>
        <w:spacing w:line="600" w:lineRule="exact"/>
        <w:ind w:firstLine="643" w:firstLineChars="200"/>
        <w:rPr>
          <w:rFonts w:ascii="仿宋" w:hAnsi="仿宋" w:eastAsia="仿宋" w:cs="仿宋"/>
          <w:sz w:val="32"/>
          <w:szCs w:val="32"/>
        </w:rPr>
      </w:pPr>
      <w:r>
        <w:rPr>
          <w:rFonts w:hint="eastAsia" w:ascii="仿宋" w:hAnsi="仿宋" w:eastAsia="仿宋" w:cs="仿宋"/>
          <w:b/>
          <w:bCs/>
          <w:sz w:val="32"/>
          <w:szCs w:val="32"/>
        </w:rPr>
        <w:t>1.专业建设。</w:t>
      </w:r>
      <w:r>
        <w:rPr>
          <w:rFonts w:hint="eastAsia" w:ascii="仿宋" w:hAnsi="仿宋" w:eastAsia="仿宋" w:cs="仿宋"/>
          <w:sz w:val="32"/>
          <w:szCs w:val="32"/>
        </w:rPr>
        <w:t>以市场需求和就业为导向，坚持高技能人才培养定位，优化专业结构，构建与区域经济和产业发展相匹配的现代专业布局，增强专业建设与产业发展需求的适应性。到2025年力争建成品牌专业5个，并以市场需求和人才就业为导向进行适时调整，推动专业升级和信息化改造。</w:t>
      </w:r>
    </w:p>
    <w:p>
      <w:pPr>
        <w:pBdr>
          <w:bottom w:val="single" w:color="FFFFFF" w:sz="4" w:space="31"/>
        </w:pBdr>
        <w:adjustRightInd w:val="0"/>
        <w:snapToGrid w:val="0"/>
        <w:spacing w:line="600" w:lineRule="exact"/>
        <w:ind w:firstLine="643" w:firstLineChars="200"/>
        <w:rPr>
          <w:rFonts w:ascii="仿宋" w:hAnsi="仿宋" w:eastAsia="仿宋" w:cs="仿宋"/>
          <w:sz w:val="32"/>
          <w:szCs w:val="32"/>
        </w:rPr>
      </w:pPr>
      <w:r>
        <w:rPr>
          <w:rFonts w:hint="eastAsia" w:ascii="仿宋" w:hAnsi="仿宋" w:eastAsia="仿宋" w:cs="仿宋"/>
          <w:b/>
          <w:bCs/>
          <w:sz w:val="32"/>
          <w:szCs w:val="32"/>
        </w:rPr>
        <w:t>2.课程建设。</w:t>
      </w:r>
      <w:r>
        <w:rPr>
          <w:rFonts w:hint="eastAsia" w:ascii="仿宋" w:hAnsi="仿宋" w:eastAsia="仿宋" w:cs="仿宋"/>
          <w:sz w:val="32"/>
          <w:szCs w:val="32"/>
        </w:rPr>
        <w:t>一是把优秀课程建设与评估作为一项整体工作来抓，建设好各专业的两大课程体系，即综合素质教育课程体系和一体化课程体系。二是全面启动学校优质课程建设工作，定期开展优质课程评审。力争到2025年，建成校级优质课程10门，并大力支持教师申报国家级、省级优质课程。三是继续推进中德职业教育试点推广项目，在汽车机电维修、航空及燃机零部件制造、机电一体化3个项目上深入推行德国“双元制”培养模式，总结和固化试点经验，并在校内和市内推广。</w:t>
      </w:r>
    </w:p>
    <w:p>
      <w:pPr>
        <w:pBdr>
          <w:bottom w:val="single" w:color="FFFFFF" w:sz="4" w:space="31"/>
        </w:pBdr>
        <w:adjustRightInd w:val="0"/>
        <w:snapToGrid w:val="0"/>
        <w:spacing w:line="600" w:lineRule="exact"/>
        <w:ind w:firstLine="643" w:firstLineChars="200"/>
        <w:rPr>
          <w:rFonts w:ascii="仿宋" w:hAnsi="仿宋" w:eastAsia="仿宋" w:cs="仿宋"/>
          <w:sz w:val="32"/>
          <w:szCs w:val="32"/>
        </w:rPr>
      </w:pPr>
      <w:r>
        <w:rPr>
          <w:rFonts w:hint="eastAsia" w:ascii="仿宋" w:hAnsi="仿宋" w:eastAsia="仿宋" w:cs="仿宋"/>
          <w:b/>
          <w:bCs/>
          <w:sz w:val="32"/>
          <w:szCs w:val="32"/>
        </w:rPr>
        <w:t>3.实训场地建设</w:t>
      </w:r>
      <w:r>
        <w:rPr>
          <w:rFonts w:hint="eastAsia" w:ascii="仿宋" w:hAnsi="仿宋" w:eastAsia="仿宋" w:cs="仿宋"/>
          <w:sz w:val="32"/>
          <w:szCs w:val="32"/>
        </w:rPr>
        <w:t>。坚持软件建设与硬件建设、全面规划与重点项目相结合的原则，完成基础教学实训场地调整、实训场地教学软件与硬件配套工作。逐步实现实训场地全天候向学生开放，为培养学生的创新意识、创新能力和实践能力创造条件。重点建成拟新设专业的配套实训室和多功能教室。</w:t>
      </w:r>
    </w:p>
    <w:p>
      <w:pPr>
        <w:pBdr>
          <w:bottom w:val="single" w:color="FFFFFF" w:sz="4" w:space="31"/>
        </w:pBdr>
        <w:adjustRightInd w:val="0"/>
        <w:snapToGrid w:val="0"/>
        <w:spacing w:line="600" w:lineRule="exact"/>
        <w:ind w:firstLine="643" w:firstLineChars="200"/>
        <w:rPr>
          <w:rFonts w:ascii="仿宋" w:hAnsi="仿宋" w:eastAsia="仿宋" w:cs="仿宋"/>
          <w:sz w:val="32"/>
          <w:szCs w:val="32"/>
        </w:rPr>
      </w:pPr>
      <w:r>
        <w:rPr>
          <w:rFonts w:hint="eastAsia" w:ascii="仿宋" w:hAnsi="仿宋" w:eastAsia="仿宋" w:cs="仿宋"/>
          <w:b/>
          <w:bCs/>
          <w:sz w:val="32"/>
          <w:szCs w:val="32"/>
        </w:rPr>
        <w:t>4.师资培养</w:t>
      </w:r>
      <w:r>
        <w:rPr>
          <w:rFonts w:hint="eastAsia" w:ascii="仿宋" w:hAnsi="仿宋" w:eastAsia="仿宋" w:cs="仿宋"/>
          <w:sz w:val="32"/>
          <w:szCs w:val="32"/>
        </w:rPr>
        <w:t xml:space="preserve">。坚持培养与引进相结合，努力建设一支数量适当、结构合理、素质优良、精干高效、专兼结合、具有良好职业道德水平、富有活力和创造力的师资队伍。计划到2025年教师人数超过200人，同时，通过内外兼修，积极打造“一体化”教师队伍，到2025年实现“一体化”教师占专任教师85%以上。   </w:t>
      </w:r>
    </w:p>
    <w:p>
      <w:pPr>
        <w:pBdr>
          <w:bottom w:val="single" w:color="FFFFFF" w:sz="4" w:space="31"/>
        </w:pBdr>
        <w:adjustRightInd w:val="0"/>
        <w:snapToGrid w:val="0"/>
        <w:spacing w:line="600" w:lineRule="exact"/>
        <w:ind w:firstLine="643" w:firstLineChars="200"/>
        <w:rPr>
          <w:rFonts w:ascii="仿宋" w:hAnsi="仿宋" w:eastAsia="仿宋" w:cs="仿宋"/>
          <w:sz w:val="32"/>
          <w:szCs w:val="32"/>
        </w:rPr>
      </w:pPr>
      <w:r>
        <w:rPr>
          <w:rFonts w:hint="eastAsia" w:ascii="仿宋" w:hAnsi="仿宋" w:eastAsia="仿宋" w:cs="仿宋"/>
          <w:b/>
          <w:bCs/>
          <w:sz w:val="32"/>
          <w:szCs w:val="32"/>
        </w:rPr>
        <w:t>5.教学改革</w:t>
      </w:r>
      <w:r>
        <w:rPr>
          <w:rFonts w:hint="eastAsia" w:ascii="仿宋" w:hAnsi="仿宋" w:eastAsia="仿宋" w:cs="仿宋"/>
          <w:sz w:val="32"/>
          <w:szCs w:val="32"/>
        </w:rPr>
        <w:t>。一是全力推动“岗课赛证”人才培养模式改革，大力提倡教师采用现代信息化教学、实践教学、场景教学等多种形式的教学手段，形成“岗课对接，赛教融合”的有效模式。计划在5年间，以常设专业为平台建立工作过程系统化课程体系,在高级技工班或预备技师班试行。二是积极探索“停课不停学”在线教育模式，努力建立科学规范的信息化教育体系。积极引入人工智能技术，优化教学环境，激发学生的学习积极性和主动性，提高教学管理水平，使教学管理更科学合理。三是加强对教学研究课题的立项评审、中期检查、成果评定、实践推广的管理等工作。五年间，计划建立校级教学研究课题6-10项，其中含1-3项市级及以上教学科研课题。</w:t>
      </w:r>
    </w:p>
    <w:p>
      <w:pPr>
        <w:pBdr>
          <w:bottom w:val="single" w:color="FFFFFF" w:sz="4" w:space="31"/>
        </w:pBdr>
        <w:adjustRightInd w:val="0"/>
        <w:snapToGrid w:val="0"/>
        <w:spacing w:line="60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6.技能竞赛</w:t>
      </w:r>
      <w:r>
        <w:rPr>
          <w:rFonts w:hint="eastAsia" w:ascii="仿宋" w:hAnsi="仿宋" w:eastAsia="仿宋" w:cs="仿宋"/>
          <w:sz w:val="32"/>
          <w:szCs w:val="32"/>
        </w:rPr>
        <w:t>。积极参加国家、省、市各级各类技能竞赛，实现以赛促教、以赛促学；努力培养学生“工匠精神”，营造崇尚技能的教学氛围，鼓励师生积极参加各种技能竞赛，完善技能竞赛奖励办法及竞赛训练团队管理办法，各教研室成立技能竞赛日</w:t>
      </w:r>
    </w:p>
    <w:p>
      <w:pPr>
        <w:pBdr>
          <w:bottom w:val="single" w:color="FFFFFF" w:sz="4" w:space="31"/>
        </w:pBdr>
        <w:adjustRightInd w:val="0"/>
        <w:snapToGrid w:val="0"/>
        <w:spacing w:line="600" w:lineRule="exact"/>
        <w:rPr>
          <w:rFonts w:hint="eastAsia" w:ascii="仿宋" w:hAnsi="仿宋" w:eastAsia="仿宋" w:cs="仿宋"/>
          <w:sz w:val="32"/>
          <w:szCs w:val="32"/>
          <w:lang w:eastAsia="zh-CN"/>
        </w:rPr>
      </w:pPr>
      <w:r>
        <w:rPr>
          <w:rFonts w:hint="eastAsia" w:ascii="仿宋" w:hAnsi="仿宋" w:eastAsia="仿宋" w:cs="仿宋"/>
          <w:sz w:val="32"/>
          <w:szCs w:val="32"/>
        </w:rPr>
        <w:t>常训练团队，各专业要选拔优秀学生长期有针对性进行训练，“十四五”期间，师生力争夺得市级技能竞赛奖项60个以上，省级及以上奖项10个以上。</w:t>
      </w:r>
    </w:p>
    <w:p>
      <w:pPr>
        <w:pStyle w:val="5"/>
        <w:rPr>
          <w:rFonts w:hint="eastAsia"/>
        </w:rPr>
      </w:pPr>
    </w:p>
    <w:p>
      <w:pPr>
        <w:pStyle w:val="5"/>
        <w:rPr>
          <w:rFonts w:hint="eastAsia"/>
        </w:rPr>
      </w:pPr>
    </w:p>
    <w:p>
      <w:pPr>
        <w:rPr>
          <w:rFonts w:hint="eastAsia"/>
        </w:rPr>
      </w:pPr>
    </w:p>
    <w:p>
      <w:pPr>
        <w:pStyle w:val="5"/>
        <w:rPr>
          <w:rFonts w:hint="eastAsia"/>
        </w:rPr>
      </w:pPr>
      <w:r>
        <w:rPr>
          <w:sz w:val="32"/>
        </w:rPr>
        <mc:AlternateContent>
          <mc:Choice Requires="wps">
            <w:drawing>
              <wp:anchor distT="0" distB="0" distL="114300" distR="114300" simplePos="0" relativeHeight="251684864" behindDoc="0" locked="0" layoutInCell="1" allowOverlap="1">
                <wp:simplePos x="0" y="0"/>
                <wp:positionH relativeFrom="column">
                  <wp:posOffset>4903470</wp:posOffset>
                </wp:positionH>
                <wp:positionV relativeFrom="paragraph">
                  <wp:posOffset>306070</wp:posOffset>
                </wp:positionV>
                <wp:extent cx="436245" cy="386080"/>
                <wp:effectExtent l="0" t="0" r="1905" b="13970"/>
                <wp:wrapNone/>
                <wp:docPr id="31" name="矩形 31"/>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86.1pt;margin-top:24.1pt;height:30.4pt;width:34.35pt;z-index:251684864;mso-width-relative:page;mso-height-relative:page;" fillcolor="#FFFFFF" filled="t" stroked="f" coordsize="21600,21600" o:gfxdata="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hr&#10;tHDXAAAACgEAAA8AAAAAAAAAAQAgAAAAIgAAAGRycy9kb3ducmV2LnhtbFBLAQIUABQAAAAIAIdO&#10;4kD7Bl5xsgEAAGADAAAOAAAAAAAAAAEAIAAAACYBAABkcnMvZTJvRG9jLnhtbFBLBQYAAAAABgAG&#10;AFkBAABKBQ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4921250</wp:posOffset>
                </wp:positionH>
                <wp:positionV relativeFrom="paragraph">
                  <wp:posOffset>275590</wp:posOffset>
                </wp:positionV>
                <wp:extent cx="436245" cy="386080"/>
                <wp:effectExtent l="0" t="0" r="1905" b="13970"/>
                <wp:wrapNone/>
                <wp:docPr id="23" name="矩形 23"/>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87.5pt;margin-top:21.7pt;height:30.4pt;width:34.35pt;z-index:251680768;mso-width-relative:page;mso-height-relative:page;" fillcolor="#FFFFFF" filled="t" stroked="f" coordsize="21600,21600" o:gfxdata="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8FFp2AAAAAoBAAAPAAAAAAAAAAEAIAAAACIAAABkcnMvZG93bnJldi54bWxQSwECFAAUAAAACACH&#10;TuJAvRZlbLIBAABgAwAADgAAAAAAAAABACAAAAAnAQAAZHJzL2Uyb0RvYy54bWxQSwUGAAAAAAYA&#10;BgBZAQAASwU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4957445</wp:posOffset>
                </wp:positionH>
                <wp:positionV relativeFrom="paragraph">
                  <wp:posOffset>311150</wp:posOffset>
                </wp:positionV>
                <wp:extent cx="436245" cy="386080"/>
                <wp:effectExtent l="0" t="0" r="1905" b="13970"/>
                <wp:wrapNone/>
                <wp:docPr id="25" name="矩形 25"/>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90.35pt;margin-top:24.5pt;height:30.4pt;width:34.35pt;z-index:251679744;mso-width-relative:page;mso-height-relative:page;" fillcolor="#FFFFFF" filled="t" stroked="f" coordsize="21600,21600" o:gfxdata="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L&#10;4G7XAAAACgEAAA8AAAAAAAAAAQAgAAAAIgAAAGRycy9kb3ducmV2LnhtbFBLAQIUABQAAAAIAIdO&#10;4kAybGmYsgEAAGADAAAOAAAAAAAAAAEAIAAAACYBAABkcnMvZTJvRG9jLnhtbFBLBQYAAAAABgAG&#10;AFkBAABKBQ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4993640</wp:posOffset>
                </wp:positionH>
                <wp:positionV relativeFrom="paragraph">
                  <wp:posOffset>382905</wp:posOffset>
                </wp:positionV>
                <wp:extent cx="436245" cy="386080"/>
                <wp:effectExtent l="0" t="0" r="1905" b="13970"/>
                <wp:wrapNone/>
                <wp:docPr id="24" name="矩形 24"/>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93.2pt;margin-top:30.15pt;height:30.4pt;width:34.35pt;z-index:251678720;mso-width-relative:page;mso-height-relative:page;" fillcolor="#FFFFFF" filled="t" stroked="f" coordsize="21600,21600" o:gfxdata="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oKZEtgAAAAKAQAADwAAAAAAAAABACAAAAAiAAAAZHJzL2Rvd25yZXYueG1sUEsBAhQAFAAAAAgA&#10;h07iQO/5/OqzAQAAYAMAAA4AAAAAAAAAAQAgAAAAJwEAAGRycy9lMm9Eb2MueG1sUEsFBgAAAAAG&#10;AAYAWQEAAEwFA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4850765</wp:posOffset>
                </wp:positionH>
                <wp:positionV relativeFrom="paragraph">
                  <wp:posOffset>257810</wp:posOffset>
                </wp:positionV>
                <wp:extent cx="436245" cy="386080"/>
                <wp:effectExtent l="0" t="0" r="1905" b="13970"/>
                <wp:wrapNone/>
                <wp:docPr id="20" name="矩形 20"/>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81.95pt;margin-top:20.3pt;height:30.4pt;width:34.35pt;z-index:251677696;mso-width-relative:page;mso-height-relative:page;" fillcolor="#FFFFFF" filled="t" stroked="f" coordsize="21600,21600" o:gfxdata="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oyOS2AAAAAoBAAAPAAAAAAAAAAEAIAAAACIAAABkcnMvZG93bnJldi54bWxQSwECFAAUAAAACACH&#10;TuJA2qjb+7IBAABgAwAADgAAAAAAAAABACAAAAAnAQAAZHJzL2Uyb0RvYy54bWxQSwUGAAAAAAYA&#10;BgBZAQAASwU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5125720</wp:posOffset>
                </wp:positionH>
                <wp:positionV relativeFrom="paragraph">
                  <wp:posOffset>71120</wp:posOffset>
                </wp:positionV>
                <wp:extent cx="888365" cy="760730"/>
                <wp:effectExtent l="0" t="0" r="6985" b="1270"/>
                <wp:wrapNone/>
                <wp:docPr id="22" name="矩形 22"/>
                <wp:cNvGraphicFramePr/>
                <a:graphic xmlns:a="http://schemas.openxmlformats.org/drawingml/2006/main">
                  <a:graphicData uri="http://schemas.microsoft.com/office/word/2010/wordprocessingShape">
                    <wps:wsp>
                      <wps:cNvSpPr/>
                      <wps:spPr>
                        <a:xfrm>
                          <a:off x="0" y="0"/>
                          <a:ext cx="888365" cy="760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03.6pt;margin-top:5.6pt;height:59.9pt;width:69.95pt;z-index:251667456;mso-width-relative:page;mso-height-relative:page;" fillcolor="#FFFFFF" filled="t" stroked="f" coordsize="21600,21600" o:gfxdata="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DEB6tgAAAAKAQAADwAAAAAAAAABACAAAAAiAAAAZHJzL2Rvd25yZXYueG1sUEsBAhQAFAAAAAgA&#10;h07iQPwHZFOzAQAAYAMAAA4AAAAAAAAAAQAgAAAAJwEAAGRycy9lMm9Eb2MueG1sUEsFBgAAAAAG&#10;AAYAWQEAAEwFA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2895600</wp:posOffset>
                </wp:positionH>
                <wp:positionV relativeFrom="paragraph">
                  <wp:posOffset>111125</wp:posOffset>
                </wp:positionV>
                <wp:extent cx="738505" cy="745490"/>
                <wp:effectExtent l="0" t="0" r="4445" b="16510"/>
                <wp:wrapNone/>
                <wp:docPr id="21" name="矩形 21"/>
                <wp:cNvGraphicFramePr/>
                <a:graphic xmlns:a="http://schemas.openxmlformats.org/drawingml/2006/main">
                  <a:graphicData uri="http://schemas.microsoft.com/office/word/2010/wordprocessingShape">
                    <wps:wsp>
                      <wps:cNvSpPr/>
                      <wps:spPr>
                        <a:xfrm>
                          <a:off x="0" y="0"/>
                          <a:ext cx="738505" cy="74549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28pt;margin-top:8.75pt;height:58.7pt;width:58.15pt;z-index:251666432;mso-width-relative:page;mso-height-relative:page;" fillcolor="#FFFFFF" filled="t" stroked="f" coordsize="21600,21600" o:gfxdata="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6pou9gAAAAKAQAADwAAAAAAAAABACAAAAAiAAAAZHJzL2Rvd25yZXYueG1sUEsBAhQAFAAAAAgA&#10;h07iQLSmWnCzAQAAYAMAAA4AAAAAAAAAAQAgAAAAJwEAAGRycy9lMm9Eb2MueG1sUEsFBgAAAAAG&#10;AAYAWQEAAEwFAAAAAA==&#10;">
                <v:fill on="t" focussize="0,0"/>
                <v:stroke on="f"/>
                <v:imagedata o:title=""/>
                <o:lock v:ext="edit" aspectratio="f"/>
              </v:rect>
            </w:pict>
          </mc:Fallback>
        </mc:AlternateContent>
      </w:r>
      <w:r>
        <w:rPr>
          <w:rFonts w:hint="eastAsia" w:ascii="仿宋" w:hAnsi="仿宋" w:eastAsia="仿宋" w:cs="仿宋"/>
          <w:sz w:val="32"/>
          <w:szCs w:val="32"/>
          <w:lang w:eastAsia="zh-CN"/>
        </w:rPr>
        <w:drawing>
          <wp:anchor distT="0" distB="0" distL="114300" distR="114300" simplePos="0" relativeHeight="251665408" behindDoc="0" locked="0" layoutInCell="1" allowOverlap="1">
            <wp:simplePos x="0" y="0"/>
            <wp:positionH relativeFrom="column">
              <wp:posOffset>3212465</wp:posOffset>
            </wp:positionH>
            <wp:positionV relativeFrom="paragraph">
              <wp:posOffset>393700</wp:posOffset>
            </wp:positionV>
            <wp:extent cx="2468880" cy="1591310"/>
            <wp:effectExtent l="0" t="0" r="7620" b="8890"/>
            <wp:wrapNone/>
            <wp:docPr id="11" name="图片 11" descr="质量年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质量年报"/>
                    <pic:cNvPicPr>
                      <a:picLocks noChangeAspect="1"/>
                    </pic:cNvPicPr>
                  </pic:nvPicPr>
                  <pic:blipFill>
                    <a:blip r:embed="rId7"/>
                    <a:srcRect l="56104" t="32311" r="11723" b="51715"/>
                    <a:stretch>
                      <a:fillRect/>
                    </a:stretch>
                  </pic:blipFill>
                  <pic:spPr>
                    <a:xfrm>
                      <a:off x="0" y="0"/>
                      <a:ext cx="2468880" cy="1591310"/>
                    </a:xfrm>
                    <a:prstGeom prst="rect">
                      <a:avLst/>
                    </a:prstGeom>
                  </pic:spPr>
                </pic:pic>
              </a:graphicData>
            </a:graphic>
          </wp:anchor>
        </w:drawing>
      </w:r>
    </w:p>
    <w:p>
      <w:pPr>
        <w:rPr>
          <w:rFonts w:hint="eastAsia"/>
        </w:rPr>
      </w:pPr>
      <w:r>
        <w:rPr>
          <w:sz w:val="32"/>
        </w:rPr>
        <mc:AlternateContent>
          <mc:Choice Requires="wps">
            <w:drawing>
              <wp:anchor distT="0" distB="0" distL="114300" distR="114300" simplePos="0" relativeHeight="251685888" behindDoc="0" locked="0" layoutInCell="1" allowOverlap="1">
                <wp:simplePos x="0" y="0"/>
                <wp:positionH relativeFrom="column">
                  <wp:posOffset>3349625</wp:posOffset>
                </wp:positionH>
                <wp:positionV relativeFrom="paragraph">
                  <wp:posOffset>29210</wp:posOffset>
                </wp:positionV>
                <wp:extent cx="436245" cy="386080"/>
                <wp:effectExtent l="0" t="0" r="1905" b="13970"/>
                <wp:wrapNone/>
                <wp:docPr id="19" name="矩形 19"/>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63.75pt;margin-top:2.3pt;height:30.4pt;width:34.35pt;z-index:251685888;mso-width-relative:page;mso-height-relative:page;" fillcolor="#FFFFFF" filled="t" stroked="f" coordsize="21600,21600" o:gfxdata="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bD&#10;ZKzWAAAACAEAAA8AAAAAAAAAAQAgAAAAIgAAAGRycy9kb3ducmV2LnhtbFBLAQIUABQAAAAIAIdO&#10;4kAo1UF4swEAAGADAAAOAAAAAAAAAAEAIAAAACUBAABkcnMvZTJvRG9jLnhtbFBLBQYAAAAABgAG&#10;AFkBAABKBQ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5099685</wp:posOffset>
                </wp:positionH>
                <wp:positionV relativeFrom="paragraph">
                  <wp:posOffset>58420</wp:posOffset>
                </wp:positionV>
                <wp:extent cx="436245" cy="386080"/>
                <wp:effectExtent l="0" t="0" r="1905" b="13970"/>
                <wp:wrapNone/>
                <wp:docPr id="18" name="矩形 18"/>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01.55pt;margin-top:4.6pt;height:30.4pt;width:34.35pt;z-index:251682816;mso-width-relative:page;mso-height-relative:page;" fillcolor="#FFFFFF" filled="t" stroked="f" coordsize="21600,21600" o:gfxdata="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0X&#10;QcrXAAAACAEAAA8AAAAAAAAAAQAgAAAAIgAAAGRycy9kb3ducmV2LnhtbFBLAQIUABQAAAAIAIdO&#10;4kD1QNQKsgEAAGADAAAOAAAAAAAAAAEAIAAAACYBAABkcnMvZTJvRG9jLnhtbFBLBQYAAAAABgAG&#10;AFkBAABKBQ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5106035</wp:posOffset>
                </wp:positionH>
                <wp:positionV relativeFrom="paragraph">
                  <wp:posOffset>46355</wp:posOffset>
                </wp:positionV>
                <wp:extent cx="436245" cy="386080"/>
                <wp:effectExtent l="0" t="0" r="1905" b="13970"/>
                <wp:wrapNone/>
                <wp:docPr id="14" name="矩形 14"/>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02.05pt;margin-top:3.65pt;height:30.4pt;width:34.35pt;z-index:251681792;mso-width-relative:page;mso-height-relative:page;" fillcolor="#FFFFFF" filled="t" stroked="f" coordsize="21600,21600" o:gfxdata="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a7A21wAAAAgBAAAPAAAAAAAAAAEAIAAAACIAAABkcnMvZG93bnJldi54bWxQSwECFAAUAAAACACH&#10;TuJAqrO9ObMBAABgAwAADgAAAAAAAAABACAAAAAmAQAAZHJzL2Uyb0RvYy54bWxQSwUGAAAAAAYA&#10;BgBZAQAASwU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5100955</wp:posOffset>
                </wp:positionH>
                <wp:positionV relativeFrom="paragraph">
                  <wp:posOffset>165735</wp:posOffset>
                </wp:positionV>
                <wp:extent cx="436245" cy="386080"/>
                <wp:effectExtent l="0" t="0" r="1905" b="13970"/>
                <wp:wrapNone/>
                <wp:docPr id="17" name="矩形 17"/>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01.65pt;margin-top:13.05pt;height:30.4pt;width:34.35pt;z-index:251676672;mso-width-relative:page;mso-height-relative:page;" fillcolor="#FFFFFF" filled="t" stroked="f" coordsize="21600,21600" o:gfxdata="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6&#10;tJ+A1wAAAAkBAAAPAAAAAAAAAAEAIAAAACIAAABkcnMvZG93bnJldi54bWxQSwECFAAUAAAACACH&#10;TuJAzQ0DrrMBAABgAwAADgAAAAAAAAABACAAAAAmAQAAZHJzL2Uyb0RvYy54bWxQSwUGAAAAAAYA&#10;BgBZAQAASwUAAAAA&#10;">
                <v:fill on="t" focussize="0,0"/>
                <v:stroke on="f"/>
                <v:imagedata o:title=""/>
                <o:lock v:ext="edit" aspectratio="f"/>
              </v:rect>
            </w:pict>
          </mc:Fallback>
        </mc:AlternateContent>
      </w:r>
    </w:p>
    <w:p>
      <w:pPr>
        <w:rPr>
          <w:rFonts w:hint="eastAsia"/>
        </w:rPr>
      </w:pPr>
      <w:r>
        <w:rPr>
          <w:sz w:val="32"/>
        </w:rPr>
        <mc:AlternateContent>
          <mc:Choice Requires="wps">
            <w:drawing>
              <wp:anchor distT="0" distB="0" distL="114300" distR="114300" simplePos="0" relativeHeight="251675648" behindDoc="0" locked="0" layoutInCell="1" allowOverlap="1">
                <wp:simplePos x="0" y="0"/>
                <wp:positionH relativeFrom="column">
                  <wp:posOffset>5499735</wp:posOffset>
                </wp:positionH>
                <wp:positionV relativeFrom="paragraph">
                  <wp:posOffset>181610</wp:posOffset>
                </wp:positionV>
                <wp:extent cx="436245" cy="386080"/>
                <wp:effectExtent l="0" t="0" r="1905" b="13970"/>
                <wp:wrapNone/>
                <wp:docPr id="16" name="矩形 16"/>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3.05pt;margin-top:14.3pt;height:30.4pt;width:34.35pt;z-index:251675648;mso-width-relative:page;mso-height-relative:page;" fillcolor="#FFFFFF" filled="t" stroked="f" coordsize="21600,21600" o:gfxdata="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UQac1wAAAAkBAAAPAAAAAAAAAAEAIAAAACIAAABkcnMvZG93bnJldi54bWxQSwECFAAUAAAACACH&#10;TuJAEJiW3LMBAABgAwAADgAAAAAAAAABACAAAAAmAQAAZHJzL2Uyb0RvYy54bWxQSwUGAAAAAAYA&#10;BgBZAQAASwU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5522595</wp:posOffset>
                </wp:positionH>
                <wp:positionV relativeFrom="paragraph">
                  <wp:posOffset>182880</wp:posOffset>
                </wp:positionV>
                <wp:extent cx="888365" cy="760730"/>
                <wp:effectExtent l="0" t="0" r="6985" b="1270"/>
                <wp:wrapNone/>
                <wp:docPr id="13" name="矩形 13"/>
                <wp:cNvGraphicFramePr/>
                <a:graphic xmlns:a="http://schemas.openxmlformats.org/drawingml/2006/main">
                  <a:graphicData uri="http://schemas.microsoft.com/office/word/2010/wordprocessingShape">
                    <wps:wsp>
                      <wps:cNvSpPr/>
                      <wps:spPr>
                        <a:xfrm>
                          <a:off x="0" y="0"/>
                          <a:ext cx="888365" cy="760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34.85pt;margin-top:14.4pt;height:59.9pt;width:69.95pt;z-index:251668480;mso-width-relative:page;mso-height-relative:page;" fillcolor="#FFFFFF" filled="t" stroked="f" coordsize="21600,21600" o:gfxdata="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UCnMtgAAAALAQAADwAAAAAAAAABACAAAAAiAAAAZHJzL2Rvd25yZXYueG1sUEsBAhQAFAAAAAgA&#10;h07iQGTYsPKzAQAAYAMAAA4AAAAAAAAAAQAgAAAAJwEAAGRycy9lMm9Eb2MueG1sUEsFBgAAAAAG&#10;AAYAWQEAAEwFAAAAAA==&#10;">
                <v:fill on="t" focussize="0,0"/>
                <v:stroke on="f"/>
                <v:imagedata o:title=""/>
                <o:lock v:ext="edit" aspectratio="f"/>
              </v:rect>
            </w:pict>
          </mc:Fallback>
        </mc:AlternateContent>
      </w:r>
    </w:p>
    <w:p>
      <w:pPr>
        <w:pStyle w:val="5"/>
        <w:rPr>
          <w:rFonts w:hint="eastAsia"/>
        </w:rPr>
      </w:pPr>
      <w:r>
        <w:rPr>
          <w:sz w:val="32"/>
        </w:rPr>
        <mc:AlternateContent>
          <mc:Choice Requires="wps">
            <w:drawing>
              <wp:anchor distT="0" distB="0" distL="114300" distR="114300" simplePos="0" relativeHeight="251674624" behindDoc="0" locked="0" layoutInCell="1" allowOverlap="1">
                <wp:simplePos x="0" y="0"/>
                <wp:positionH relativeFrom="column">
                  <wp:posOffset>5195570</wp:posOffset>
                </wp:positionH>
                <wp:positionV relativeFrom="paragraph">
                  <wp:posOffset>375285</wp:posOffset>
                </wp:positionV>
                <wp:extent cx="436245" cy="131445"/>
                <wp:effectExtent l="0" t="0" r="1905" b="1905"/>
                <wp:wrapNone/>
                <wp:docPr id="15" name="矩形 15"/>
                <wp:cNvGraphicFramePr/>
                <a:graphic xmlns:a="http://schemas.openxmlformats.org/drawingml/2006/main">
                  <a:graphicData uri="http://schemas.microsoft.com/office/word/2010/wordprocessingShape">
                    <wps:wsp>
                      <wps:cNvSpPr/>
                      <wps:spPr>
                        <a:xfrm>
                          <a:off x="0" y="0"/>
                          <a:ext cx="436245" cy="13144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09.1pt;margin-top:29.55pt;height:10.35pt;width:34.35pt;z-index:251674624;mso-width-relative:page;mso-height-relative:page;" fillcolor="#FFFFFF" filled="t" stroked="f" coordsize="21600,21600" o:gfxdata="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OLlBnX&#10;AAAACQEAAA8AAAAAAAAAAQAgAAAAIgAAAGRycy9kb3ducmV2LnhtbFBLAQIUABQAAAAIAIdO4kCQ&#10;5UTjrwEAAGADAAAOAAAAAAAAAAEAIAAAACYBAABkcnMvZTJvRG9jLnhtbFBLBQYAAAAABgAGAFkB&#10;AABHBQAAAAA=&#10;">
                <v:fill on="t" focussize="0,0"/>
                <v:stroke on="f"/>
                <v:imagedata o:title=""/>
                <o:lock v:ext="edit" aspectratio="f"/>
              </v:rect>
            </w:pict>
          </mc:Fallback>
        </mc:AlternateContent>
      </w:r>
    </w:p>
    <w:p>
      <w:pPr>
        <w:pStyle w:val="5"/>
        <w:rPr>
          <w:rFonts w:hint="eastAsia"/>
        </w:rPr>
      </w:pPr>
      <w:r>
        <w:rPr>
          <w:sz w:val="32"/>
        </w:rPr>
        <mc:AlternateContent>
          <mc:Choice Requires="wps">
            <w:drawing>
              <wp:anchor distT="0" distB="0" distL="114300" distR="114300" simplePos="0" relativeHeight="251683840" behindDoc="1" locked="0" layoutInCell="1" allowOverlap="1">
                <wp:simplePos x="0" y="0"/>
                <wp:positionH relativeFrom="column">
                  <wp:posOffset>3272155</wp:posOffset>
                </wp:positionH>
                <wp:positionV relativeFrom="paragraph">
                  <wp:posOffset>332105</wp:posOffset>
                </wp:positionV>
                <wp:extent cx="436245" cy="386080"/>
                <wp:effectExtent l="0" t="0" r="1905" b="13970"/>
                <wp:wrapNone/>
                <wp:docPr id="12" name="矩形 12"/>
                <wp:cNvGraphicFramePr/>
                <a:graphic xmlns:a="http://schemas.openxmlformats.org/drawingml/2006/main">
                  <a:graphicData uri="http://schemas.microsoft.com/office/word/2010/wordprocessingShape">
                    <wps:wsp>
                      <wps:cNvSpPr/>
                      <wps:spPr>
                        <a:xfrm>
                          <a:off x="0" y="0"/>
                          <a:ext cx="436245" cy="3860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57.65pt;margin-top:26.15pt;height:30.4pt;width:34.35pt;z-index:-251632640;mso-width-relative:page;mso-height-relative:page;" fillcolor="#FFFFFF" filled="t" stroked="f" coordsize="21600,21600" o:gfxdata="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M7jW1wAAAAoBAAAPAAAAAAAAAAEAIAAAACIAAABkcnMvZG93bnJldi54bWxQSwECFAAUAAAACACH&#10;TuJAJcmxzbMBAABgAwAADgAAAAAAAAABACAAAAAmAQAAZHJzL2Uyb0RvYy54bWxQSwUGAAAAAAYA&#10;BgBZAQAASwU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4243070</wp:posOffset>
                </wp:positionH>
                <wp:positionV relativeFrom="paragraph">
                  <wp:posOffset>312420</wp:posOffset>
                </wp:positionV>
                <wp:extent cx="299085" cy="214630"/>
                <wp:effectExtent l="0" t="0" r="5715" b="13970"/>
                <wp:wrapNone/>
                <wp:docPr id="28" name="矩形 28"/>
                <wp:cNvGraphicFramePr/>
                <a:graphic xmlns:a="http://schemas.openxmlformats.org/drawingml/2006/main">
                  <a:graphicData uri="http://schemas.microsoft.com/office/word/2010/wordprocessingShape">
                    <wps:wsp>
                      <wps:cNvSpPr/>
                      <wps:spPr>
                        <a:xfrm>
                          <a:off x="0" y="0"/>
                          <a:ext cx="299085" cy="2146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34.1pt;margin-top:24.6pt;height:16.9pt;width:23.55pt;z-index:251673600;mso-width-relative:page;mso-height-relative:page;" fillcolor="#FFFFFF" filled="t" stroked="f" coordsize="21600,21600" o:gfxdata="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3dZK2AAAAAkBAAAPAAAAAAAAAAEAIAAAACIAAABkcnMvZG93bnJldi54bWxQSwECFAAUAAAACACH&#10;TuJAizo+o7IBAABgAwAADgAAAAAAAAABACAAAAAnAQAAZHJzL2Uyb0RvYy54bWxQSwUGAAAAAAYA&#10;BgBZAQAASwU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2748280</wp:posOffset>
                </wp:positionH>
                <wp:positionV relativeFrom="paragraph">
                  <wp:posOffset>159385</wp:posOffset>
                </wp:positionV>
                <wp:extent cx="888365" cy="760730"/>
                <wp:effectExtent l="0" t="0" r="6985" b="1270"/>
                <wp:wrapNone/>
                <wp:docPr id="26" name="矩形 26"/>
                <wp:cNvGraphicFramePr/>
                <a:graphic xmlns:a="http://schemas.openxmlformats.org/drawingml/2006/main">
                  <a:graphicData uri="http://schemas.microsoft.com/office/word/2010/wordprocessingShape">
                    <wps:wsp>
                      <wps:cNvSpPr/>
                      <wps:spPr>
                        <a:xfrm>
                          <a:off x="0" y="0"/>
                          <a:ext cx="888365" cy="760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16.4pt;margin-top:12.55pt;height:59.9pt;width:69.95pt;z-index:251671552;mso-width-relative:page;mso-height-relative:page;" fillcolor="#FFFFFF" filled="t" stroked="f" coordsize="21600,21600" o:gfxdata="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2smPdgAAAAKAQAADwAAAAAAAAABACAAAAAiAAAAZHJzL2Rvd25yZXYueG1sUEsBAhQAFAAAAAgA&#10;h07iQMlWQ0KzAQAAYAMAAA4AAAAAAAAAAQAgAAAAJwEAAGRycy9lMm9Eb2MueG1sUEsFBgAAAAAG&#10;AAYAWQEAAEwFAAAAAA==&#10;">
                <v:fill on="t" focussize="0,0"/>
                <v:stroke on="f"/>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5157470</wp:posOffset>
                </wp:positionH>
                <wp:positionV relativeFrom="paragraph">
                  <wp:posOffset>358140</wp:posOffset>
                </wp:positionV>
                <wp:extent cx="888365" cy="760730"/>
                <wp:effectExtent l="0" t="0" r="6985" b="1270"/>
                <wp:wrapNone/>
                <wp:docPr id="27" name="矩形 27"/>
                <wp:cNvGraphicFramePr/>
                <a:graphic xmlns:a="http://schemas.openxmlformats.org/drawingml/2006/main">
                  <a:graphicData uri="http://schemas.microsoft.com/office/word/2010/wordprocessingShape">
                    <wps:wsp>
                      <wps:cNvSpPr/>
                      <wps:spPr>
                        <a:xfrm>
                          <a:off x="0" y="0"/>
                          <a:ext cx="888365" cy="760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06.1pt;margin-top:28.2pt;height:59.9pt;width:69.95pt;z-index:251669504;mso-width-relative:page;mso-height-relative:page;" fillcolor="#FFFFFF" filled="t" stroked="f" coordsize="21600,21600" o:gfxdata="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p4pFNgAAAAKAQAADwAAAAAAAAABACAAAAAiAAAAZHJzL2Rvd25yZXYueG1sUEsBAhQAFAAAAAgA&#10;h07iQBTD1jCzAQAAYAMAAA4AAAAAAAAAAQAgAAAAJwEAAGRycy9lMm9Eb2MueG1sUEsFBgAAAAAG&#10;AAYAWQEAAEwFAAAAAA==&#10;">
                <v:fill on="t" focussize="0,0"/>
                <v:stroke on="f"/>
                <v:imagedata o:title=""/>
                <o:lock v:ext="edit" aspectratio="f"/>
              </v:rect>
            </w:pict>
          </mc:Fallback>
        </mc:AlternateContent>
      </w:r>
    </w:p>
    <w:p>
      <w:pPr>
        <w:rPr>
          <w:rFonts w:hint="eastAsia"/>
        </w:rPr>
      </w:pPr>
      <w:r>
        <w:rPr>
          <w:sz w:val="32"/>
        </w:rPr>
        <mc:AlternateContent>
          <mc:Choice Requires="wps">
            <w:drawing>
              <wp:anchor distT="0" distB="0" distL="114300" distR="114300" simplePos="0" relativeHeight="251672576" behindDoc="0" locked="0" layoutInCell="1" allowOverlap="1">
                <wp:simplePos x="0" y="0"/>
                <wp:positionH relativeFrom="column">
                  <wp:posOffset>2838450</wp:posOffset>
                </wp:positionH>
                <wp:positionV relativeFrom="paragraph">
                  <wp:posOffset>125730</wp:posOffset>
                </wp:positionV>
                <wp:extent cx="888365" cy="410210"/>
                <wp:effectExtent l="0" t="0" r="6985" b="8890"/>
                <wp:wrapNone/>
                <wp:docPr id="30" name="矩形 30"/>
                <wp:cNvGraphicFramePr/>
                <a:graphic xmlns:a="http://schemas.openxmlformats.org/drawingml/2006/main">
                  <a:graphicData uri="http://schemas.microsoft.com/office/word/2010/wordprocessingShape">
                    <wps:wsp>
                      <wps:cNvSpPr/>
                      <wps:spPr>
                        <a:xfrm>
                          <a:off x="0" y="0"/>
                          <a:ext cx="888365" cy="41021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23.5pt;margin-top:9.9pt;height:32.3pt;width:69.95pt;z-index:251672576;mso-width-relative:page;mso-height-relative:page;" fillcolor="#FFFFFF" filled="t" stroked="f" coordsize="21600,21600" o:gfxdata="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oB7&#10;BNcAAAAJAQAADwAAAAAAAAABACAAAAAiAAAAZHJzL2Rvd25yZXYueG1sUEsBAhQAFAAAAAgAh07i&#10;QLQad1yxAQAAYAMAAA4AAAAAAAAAAQAgAAAAJgEAAGRycy9lMm9Eb2MueG1sUEsFBgAAAAAGAAYA&#10;WQEAAEkFAAAAAA==&#10;">
                <v:fill on="t" focussize="0,0"/>
                <v:stroke on="f"/>
                <v:imagedata o:title=""/>
                <o:lock v:ext="edit" aspectratio="f"/>
              </v:rect>
            </w:pict>
          </mc:Fallback>
        </mc:AlternateContent>
      </w:r>
    </w:p>
    <w:p>
      <w:pPr>
        <w:pStyle w:val="5"/>
        <w:sectPr>
          <w:footerReference r:id="rId3" w:type="default"/>
          <w:footerReference r:id="rId4" w:type="even"/>
          <w:pgSz w:w="11906" w:h="16838"/>
          <w:pgMar w:top="2098" w:right="1474" w:bottom="1985" w:left="1588" w:header="851" w:footer="1418" w:gutter="0"/>
          <w:cols w:space="425" w:num="1"/>
          <w:titlePg/>
          <w:docGrid w:type="lines" w:linePitch="312" w:charSpace="0"/>
        </w:sectPr>
      </w:pPr>
      <w:r>
        <w:rPr>
          <w:sz w:val="32"/>
        </w:rPr>
        <mc:AlternateContent>
          <mc:Choice Requires="wps">
            <w:drawing>
              <wp:anchor distT="0" distB="0" distL="114300" distR="114300" simplePos="0" relativeHeight="251670528" behindDoc="0" locked="0" layoutInCell="1" allowOverlap="1">
                <wp:simplePos x="0" y="0"/>
                <wp:positionH relativeFrom="column">
                  <wp:posOffset>5092065</wp:posOffset>
                </wp:positionH>
                <wp:positionV relativeFrom="paragraph">
                  <wp:posOffset>-117475</wp:posOffset>
                </wp:positionV>
                <wp:extent cx="888365" cy="760730"/>
                <wp:effectExtent l="0" t="0" r="6985" b="1270"/>
                <wp:wrapNone/>
                <wp:docPr id="29" name="矩形 29"/>
                <wp:cNvGraphicFramePr/>
                <a:graphic xmlns:a="http://schemas.openxmlformats.org/drawingml/2006/main">
                  <a:graphicData uri="http://schemas.microsoft.com/office/word/2010/wordprocessingShape">
                    <wps:wsp>
                      <wps:cNvSpPr/>
                      <wps:spPr>
                        <a:xfrm>
                          <a:off x="0" y="0"/>
                          <a:ext cx="888365" cy="760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00.95pt;margin-top:-9.25pt;height:59.9pt;width:69.95pt;z-index:251670528;mso-width-relative:page;mso-height-relative:page;" fillcolor="#FFFFFF" filled="t" stroked="f" coordsize="21600,21600" o:gfxdata="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xLTN9gAAAALAQAADwAAAAAAAAABACAAAAAiAAAAZHJzL2Rvd25yZXYueG1sUEsBAhQAFAAAAAgA&#10;h07iQPEblOazAQAAYAMAAA4AAAAAAAAAAQAgAAAAJwEAAGRycy9lMm9Eb2MueG1sUEsFBgAAAAAG&#10;AAYAWQEAAEwFAAAAAA==&#10;">
                <v:fill on="t" focussize="0,0"/>
                <v:stroke on="f"/>
                <v:imagedata o:title=""/>
                <o:lock v:ext="edit" aspectratio="f"/>
              </v:rect>
            </w:pict>
          </mc:Fallback>
        </mc:AlternateContent>
      </w:r>
    </w:p>
    <w:p>
      <w:pPr>
        <w:pStyle w:val="5"/>
      </w:pPr>
      <w:r>
        <w:rPr>
          <w:rFonts w:hint="eastAsia"/>
        </w:rPr>
        <w:t>附件1</w:t>
      </w:r>
    </w:p>
    <w:p>
      <w:pPr>
        <w:widowControl/>
        <w:jc w:val="center"/>
        <w:rPr>
          <w:rFonts w:ascii="楷体" w:hAnsi="楷体" w:eastAsia="楷体" w:cs="宋体"/>
          <w:b/>
          <w:kern w:val="0"/>
          <w:sz w:val="28"/>
          <w:szCs w:val="28"/>
        </w:rPr>
      </w:pPr>
      <w:r>
        <w:rPr>
          <w:rFonts w:hint="eastAsia"/>
        </w:rPr>
        <w:t xml:space="preserve">   </w:t>
      </w:r>
      <w:r>
        <w:rPr>
          <w:rFonts w:hint="eastAsia" w:ascii="黑体" w:hAnsi="黑体" w:eastAsia="黑体" w:cs="黑体"/>
          <w:b/>
          <w:kern w:val="0"/>
          <w:sz w:val="36"/>
          <w:szCs w:val="36"/>
        </w:rPr>
        <w:t>中德合作促教改 产教融合提质量</w:t>
      </w:r>
    </w:p>
    <w:p>
      <w:pPr>
        <w:widowControl/>
        <w:jc w:val="center"/>
        <w:rPr>
          <w:rFonts w:cs="华文宋体" w:asciiTheme="majorEastAsia" w:hAnsiTheme="majorEastAsia" w:eastAsiaTheme="majorEastAsia"/>
          <w:bCs/>
          <w:kern w:val="0"/>
          <w:sz w:val="28"/>
          <w:szCs w:val="28"/>
        </w:rPr>
      </w:pPr>
      <w:r>
        <w:rPr>
          <w:rFonts w:hint="eastAsia" w:cs="华文宋体" w:asciiTheme="majorEastAsia" w:hAnsiTheme="majorEastAsia" w:eastAsiaTheme="majorEastAsia"/>
          <w:bCs/>
          <w:kern w:val="0"/>
          <w:sz w:val="28"/>
          <w:szCs w:val="28"/>
        </w:rPr>
        <w:t>——中德合作助力产教融合典型案例</w:t>
      </w:r>
    </w:p>
    <w:p>
      <w:pPr>
        <w:widowControl/>
        <w:jc w:val="center"/>
        <w:rPr>
          <w:rFonts w:ascii="楷体" w:hAnsi="楷体" w:eastAsia="楷体" w:cs="宋体"/>
          <w:b/>
          <w:kern w:val="0"/>
          <w:sz w:val="28"/>
          <w:szCs w:val="28"/>
        </w:rPr>
      </w:pPr>
      <w:r>
        <w:rPr>
          <w:rFonts w:hint="eastAsia" w:ascii="楷体" w:hAnsi="楷体" w:eastAsia="楷体" w:cs="宋体"/>
          <w:bCs/>
          <w:kern w:val="0"/>
          <w:sz w:val="28"/>
          <w:szCs w:val="28"/>
        </w:rPr>
        <w:t>自贡市高级技工学校</w:t>
      </w:r>
    </w:p>
    <w:p>
      <w:pPr>
        <w:widowControl/>
        <w:jc w:val="left"/>
        <w:rPr>
          <w:rFonts w:ascii="宋体" w:hAnsi="宋体" w:eastAsia="宋体" w:cs="宋体"/>
          <w:kern w:val="0"/>
          <w:sz w:val="24"/>
        </w:rPr>
      </w:pPr>
    </w:p>
    <w:p>
      <w:pPr>
        <w:pBdr>
          <w:bottom w:val="single" w:color="FFFFFF" w:sz="4" w:space="31"/>
        </w:pBdr>
        <w:adjustRightInd w:val="0"/>
        <w:snapToGrid w:val="0"/>
        <w:spacing w:line="600" w:lineRule="exact"/>
        <w:ind w:firstLine="562" w:firstLineChars="200"/>
        <w:rPr>
          <w:rFonts w:ascii="仿宋" w:hAnsi="仿宋" w:eastAsia="仿宋" w:cs="仿宋"/>
          <w:sz w:val="32"/>
          <w:szCs w:val="32"/>
        </w:rPr>
      </w:pPr>
      <w:r>
        <w:rPr>
          <w:rFonts w:hint="eastAsia" w:ascii="宋体" w:hAnsi="宋体" w:eastAsia="宋体" w:cs="仿宋_GB2312"/>
          <w:b/>
          <w:color w:val="000000"/>
          <w:kern w:val="0"/>
          <w:sz w:val="28"/>
          <w:szCs w:val="28"/>
        </w:rPr>
        <w:t>摘要</w:t>
      </w:r>
      <w:r>
        <w:rPr>
          <w:rFonts w:hint="eastAsia" w:ascii="宋体" w:hAnsi="宋体" w:eastAsia="宋体" w:cs="仿宋_GB2312"/>
          <w:kern w:val="0"/>
          <w:sz w:val="28"/>
          <w:szCs w:val="28"/>
        </w:rPr>
        <w:t>：</w:t>
      </w:r>
      <w:r>
        <w:rPr>
          <w:rFonts w:hint="eastAsia" w:ascii="仿宋" w:hAnsi="仿宋" w:eastAsia="仿宋" w:cs="仿宋"/>
          <w:sz w:val="32"/>
          <w:szCs w:val="32"/>
        </w:rPr>
        <w:t>本案例利用中德合作职业教育试点推广项目平台，引入德国先进职教理念，按照德方标准，以产教融合深化三教改革，强化师资培训，提高人才培养质量为抓手，在办学理念转变、教学方法改革、课程资源建设、匠心文化传承、产教融合机制建设等方面取得了明显成效，教师综合能力显著增强，学生品德技能齐头并进，人才培养质量显著提升。</w:t>
      </w:r>
    </w:p>
    <w:p>
      <w:pPr>
        <w:pBdr>
          <w:bottom w:val="single" w:color="FFFFFF" w:sz="4" w:space="31"/>
        </w:pBdr>
        <w:adjustRightIn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关键词：中德合作  产教融合  质量提升</w:t>
      </w:r>
    </w:p>
    <w:p>
      <w:pPr>
        <w:pBdr>
          <w:bottom w:val="single" w:color="FFFFFF" w:sz="4" w:space="31"/>
        </w:pBdr>
        <w:adjustRightInd w:val="0"/>
        <w:spacing w:line="600" w:lineRule="exact"/>
        <w:ind w:firstLine="560" w:firstLineChars="200"/>
        <w:rPr>
          <w:rFonts w:ascii="宋体" w:hAnsi="宋体" w:eastAsia="宋体" w:cs="宋体"/>
          <w:kern w:val="0"/>
          <w:sz w:val="28"/>
          <w:szCs w:val="28"/>
        </w:rPr>
      </w:pPr>
      <w:r>
        <w:rPr>
          <w:rFonts w:hint="eastAsia" w:ascii="宋体" w:hAnsi="宋体" w:eastAsia="宋体" w:cs="宋体"/>
          <w:kern w:val="0"/>
          <w:sz w:val="28"/>
          <w:szCs w:val="28"/>
        </w:rPr>
        <w:t xml:space="preserve"> </w:t>
      </w:r>
      <w:r>
        <w:rPr>
          <w:rFonts w:hint="eastAsia" w:ascii="黑体" w:hAnsi="黑体" w:eastAsia="黑体" w:cs="黑体"/>
          <w:b/>
          <w:bCs/>
          <w:kern w:val="0"/>
          <w:sz w:val="28"/>
          <w:szCs w:val="28"/>
        </w:rPr>
        <w:t>一、实施背景</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为贯彻国家“一带一路”发展战略，加强职业教育与国际合作，2015年5月，由自贡市人民政府搭桥，国家发展改革委国际合作中心与德国国际合作机构（GIZ）携手，在自贡市启动了第一期"中德职业教育试点推广项目"。引进该项目的目的是借鉴德国职业教育的先进经验，推进我市职业教育改革创新，探索建立适合现代职业教育发展的新路径。</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自贡市高级技工学校作为首批试点学校，承担了汽车机电维修、航空燃机及零部件制造两个项目的试点工作，圆满完成了第一期中德试点任务，取得显著成效。2018年9月，自贡市人民政府又开始启动了第二期合作项目，学校在第一期试点项目的基础上，又增加了中德机电一体化试点项目，该项目将在2021年12月结束，试点成效将进一步凸显。中德合作在校企合作、产教融合、教学教革、质量提升等方面虽然取得成功实践，但还存在一些不足：一是</w:t>
      </w:r>
      <w:bookmarkStart w:id="1" w:name="_Hlk85921250"/>
      <w:r>
        <w:rPr>
          <w:rFonts w:hint="eastAsia" w:ascii="仿宋" w:hAnsi="仿宋" w:eastAsia="仿宋" w:cs="仿宋"/>
          <w:sz w:val="32"/>
          <w:szCs w:val="32"/>
        </w:rPr>
        <w:t>学习借鉴德国双元制职教模式及先进职教经验，如何与本土职业教育契合，创新本土化人才培养模式，培养本土化技能人才还需要认真研究和探索；二是该项目的实施需要校企深入合作、产教深度融合，但实际运行中，企业参与办学积极性不高</w:t>
      </w:r>
      <w:bookmarkEnd w:id="1"/>
      <w:r>
        <w:rPr>
          <w:rFonts w:hint="eastAsia" w:ascii="仿宋" w:hAnsi="仿宋" w:eastAsia="仿宋" w:cs="仿宋"/>
          <w:sz w:val="32"/>
          <w:szCs w:val="32"/>
        </w:rPr>
        <w:t>，“校热企冷”的问题未从根本上解决，影响到项目的深入推进</w:t>
      </w:r>
      <w:bookmarkStart w:id="2" w:name="_Hlk85921278"/>
      <w:r>
        <w:rPr>
          <w:rFonts w:hint="eastAsia" w:ascii="仿宋" w:hAnsi="仿宋" w:eastAsia="仿宋" w:cs="仿宋"/>
          <w:sz w:val="32"/>
          <w:szCs w:val="32"/>
        </w:rPr>
        <w:t>；</w:t>
      </w:r>
      <w:bookmarkEnd w:id="2"/>
      <w:bookmarkStart w:id="3" w:name="_Hlk85921333"/>
      <w:r>
        <w:rPr>
          <w:rFonts w:hint="eastAsia" w:ascii="仿宋" w:hAnsi="仿宋" w:eastAsia="仿宋" w:cs="仿宋"/>
          <w:sz w:val="32"/>
          <w:szCs w:val="32"/>
        </w:rPr>
        <w:t>三是学校教师专业知识、职业技能与德国专家要求还有相当差距，学生的实践技能、动手能力需要不断提高。</w:t>
      </w:r>
      <w:bookmarkEnd w:id="3"/>
      <w:r>
        <w:rPr>
          <w:rFonts w:hint="eastAsia" w:ascii="仿宋" w:hAnsi="仿宋" w:eastAsia="仿宋" w:cs="仿宋"/>
          <w:sz w:val="32"/>
          <w:szCs w:val="32"/>
        </w:rPr>
        <w:t>针对存在问题，学校在第二轮中德合作项目中，认真总结经验教训，加大了产教融合改革力度，推进项目的顺利实施。</w:t>
      </w:r>
    </w:p>
    <w:p>
      <w:pPr>
        <w:pBdr>
          <w:bottom w:val="single" w:color="FFFFFF" w:sz="4" w:space="31"/>
        </w:pBdr>
        <w:adjustRightInd w:val="0"/>
        <w:snapToGrid w:val="0"/>
        <w:spacing w:line="600" w:lineRule="exact"/>
        <w:ind w:firstLine="560" w:firstLineChars="200"/>
        <w:rPr>
          <w:rFonts w:ascii="仿宋" w:hAnsi="仿宋" w:eastAsia="仿宋" w:cs="仿宋"/>
          <w:sz w:val="32"/>
          <w:szCs w:val="32"/>
        </w:rPr>
      </w:pPr>
      <w:r>
        <w:rPr>
          <w:rFonts w:ascii="宋体" w:hAnsi="宋体" w:eastAsia="宋体" w:cs="宋体"/>
          <w:kern w:val="0"/>
          <w:sz w:val="28"/>
          <w:szCs w:val="28"/>
        </w:rPr>
        <w:drawing>
          <wp:anchor distT="0" distB="0" distL="0" distR="0" simplePos="0" relativeHeight="251662336" behindDoc="0" locked="0" layoutInCell="1" allowOverlap="1">
            <wp:simplePos x="0" y="0"/>
            <wp:positionH relativeFrom="column">
              <wp:posOffset>463550</wp:posOffset>
            </wp:positionH>
            <wp:positionV relativeFrom="paragraph">
              <wp:posOffset>41275</wp:posOffset>
            </wp:positionV>
            <wp:extent cx="4841240" cy="2740660"/>
            <wp:effectExtent l="0" t="0" r="16510" b="2540"/>
            <wp:wrapNone/>
            <wp:docPr id="4" name="图片 4" descr="http://img.mp.itc.cn/upload/20161227/b2c4497641cb41689e4758b42a87dfc1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img.mp.itc.cn/upload/20161227/b2c4497641cb41689e4758b42a87dfc1_th.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41240" cy="2740660"/>
                    </a:xfrm>
                    <a:prstGeom prst="rect">
                      <a:avLst/>
                    </a:prstGeom>
                    <a:noFill/>
                    <a:ln>
                      <a:noFill/>
                    </a:ln>
                  </pic:spPr>
                </pic:pic>
              </a:graphicData>
            </a:graphic>
          </wp:anchor>
        </w:drawing>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p>
    <w:p>
      <w:pPr>
        <w:pBdr>
          <w:bottom w:val="single" w:color="FFFFFF" w:sz="4" w:space="31"/>
        </w:pBdr>
        <w:adjustRightInd w:val="0"/>
        <w:snapToGrid w:val="0"/>
        <w:spacing w:line="600" w:lineRule="exact"/>
        <w:ind w:firstLine="560" w:firstLineChars="200"/>
        <w:rPr>
          <w:rFonts w:ascii="宋体" w:hAnsi="宋体" w:eastAsia="宋体" w:cs="宋体"/>
          <w:kern w:val="0"/>
          <w:sz w:val="28"/>
          <w:szCs w:val="28"/>
        </w:rPr>
      </w:pPr>
    </w:p>
    <w:p>
      <w:pPr>
        <w:pBdr>
          <w:bottom w:val="single" w:color="FFFFFF" w:sz="4" w:space="31"/>
        </w:pBdr>
        <w:adjustRightInd w:val="0"/>
        <w:snapToGrid w:val="0"/>
        <w:spacing w:line="600" w:lineRule="exact"/>
        <w:ind w:firstLine="562" w:firstLineChars="200"/>
        <w:rPr>
          <w:rFonts w:ascii="黑体" w:hAnsi="黑体" w:eastAsia="黑体" w:cs="黑体"/>
          <w:b/>
          <w:bCs/>
          <w:kern w:val="0"/>
          <w:sz w:val="28"/>
          <w:szCs w:val="28"/>
        </w:rPr>
      </w:pPr>
    </w:p>
    <w:p>
      <w:pPr>
        <w:pBdr>
          <w:bottom w:val="single" w:color="FFFFFF" w:sz="4" w:space="31"/>
        </w:pBdr>
        <w:adjustRightInd w:val="0"/>
        <w:snapToGrid w:val="0"/>
        <w:spacing w:line="600" w:lineRule="exact"/>
        <w:ind w:firstLine="562" w:firstLineChars="200"/>
        <w:rPr>
          <w:rFonts w:ascii="黑体" w:hAnsi="黑体" w:eastAsia="黑体" w:cs="黑体"/>
          <w:b/>
          <w:bCs/>
          <w:kern w:val="0"/>
          <w:sz w:val="28"/>
          <w:szCs w:val="28"/>
        </w:rPr>
      </w:pPr>
    </w:p>
    <w:p>
      <w:pPr>
        <w:pBdr>
          <w:bottom w:val="single" w:color="FFFFFF" w:sz="4" w:space="31"/>
        </w:pBdr>
        <w:adjustRightInd w:val="0"/>
        <w:snapToGrid w:val="0"/>
        <w:spacing w:line="600" w:lineRule="exact"/>
        <w:ind w:firstLine="562" w:firstLineChars="200"/>
        <w:rPr>
          <w:rFonts w:ascii="黑体" w:hAnsi="黑体" w:eastAsia="黑体" w:cs="黑体"/>
          <w:b/>
          <w:bCs/>
          <w:kern w:val="0"/>
          <w:sz w:val="28"/>
          <w:szCs w:val="28"/>
        </w:rPr>
      </w:pPr>
    </w:p>
    <w:p>
      <w:pPr>
        <w:numPr>
          <w:ilvl w:val="0"/>
          <w:numId w:val="3"/>
        </w:numPr>
        <w:pBdr>
          <w:bottom w:val="single" w:color="FFFFFF" w:sz="4" w:space="31"/>
        </w:pBdr>
        <w:adjustRightInd w:val="0"/>
        <w:snapToGrid w:val="0"/>
        <w:spacing w:line="600" w:lineRule="exact"/>
        <w:ind w:firstLine="562" w:firstLineChars="200"/>
        <w:rPr>
          <w:rFonts w:ascii="黑体" w:hAnsi="黑体" w:eastAsia="黑体" w:cs="黑体"/>
          <w:b/>
          <w:bCs/>
          <w:kern w:val="0"/>
          <w:sz w:val="28"/>
          <w:szCs w:val="28"/>
        </w:rPr>
      </w:pPr>
      <w:r>
        <w:rPr>
          <w:rFonts w:hint="eastAsia" w:ascii="黑体" w:hAnsi="黑体" w:eastAsia="黑体" w:cs="黑体"/>
          <w:b/>
          <w:bCs/>
          <w:kern w:val="0"/>
          <w:sz w:val="28"/>
          <w:szCs w:val="28"/>
        </w:rPr>
        <w:t>主要做法</w:t>
      </w:r>
    </w:p>
    <w:p>
      <w:p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（一）优选合作企业，打造实训基地</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中德合作试点班项目的开展，得到了行业、企业的大力支持。海尔集团西南园区、中兴耐磨新材料有限公司、自贡海川实业有限公司、上海大众、一汽大众等行业、企业多次与德国专家和学校洽谈磋商，研究项目实施具体方案。行业的主动参与，企业的深度融入，使试点项目在资源共建共享，学生教学实践、顶岗实习及就业、校企双主体育人等方面的问题得到有效解决，保证了试点项目的有效实施。</w:t>
      </w:r>
    </w:p>
    <w:p>
      <w:pPr>
        <w:pBdr>
          <w:bottom w:val="single" w:color="FFFFFF" w:sz="4" w:space="31"/>
        </w:pBdr>
        <w:adjustRightInd w:val="0"/>
        <w:snapToGrid w:val="0"/>
        <w:spacing w:line="600" w:lineRule="exact"/>
        <w:ind w:firstLine="562" w:firstLineChars="200"/>
        <w:rPr>
          <w:rFonts w:ascii="楷体" w:hAnsi="楷体" w:eastAsia="楷体" w:cs="宋体"/>
          <w:kern w:val="0"/>
          <w:sz w:val="28"/>
          <w:szCs w:val="28"/>
        </w:rPr>
      </w:pPr>
      <w:r>
        <w:rPr>
          <w:rFonts w:hint="eastAsia" w:ascii="楷体" w:hAnsi="楷体" w:eastAsia="楷体" w:cs="华文楷体"/>
          <w:b/>
          <w:bCs/>
          <w:kern w:val="0"/>
          <w:sz w:val="28"/>
          <w:szCs w:val="28"/>
        </w:rPr>
        <w:t>（二）完善人培方案，深化产融融合</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为使试点班教学计划既体现德国先进的职教理念，又切合自贡经济社会发展实际，各试点专业在德国专家指导下，合作企业专家主动参与，共同编制人才培养方案，将国际化元素有机融入人才培养过程，实现教学过程与生产过程的“零对接”。如航空及燃机零部件制造项目确定了三年制实施性教学计划，第一阶段为机械手制作，第二阶段为典型工作任务教学，第三阶段为顶岗实习；汽车机电维修项目确定了以自贡地区及周边最常见的89个客户委托作为教学内容，制订了实性教学计划。，再根据德国专家提供的25个专业模块进行模块细化，然后根据模块细化的内容编写工作页。三个试点项目计划在课程设置、课程大纲、教学内容、教学实践等方面特色凸显，非常实用。</w:t>
      </w:r>
    </w:p>
    <w:p>
      <w:pPr>
        <w:pBdr>
          <w:bottom w:val="single" w:color="FFFFFF" w:sz="4" w:space="31"/>
        </w:pBdr>
        <w:adjustRightInd w:val="0"/>
        <w:snapToGrid w:val="0"/>
        <w:spacing w:line="600" w:lineRule="exact"/>
        <w:ind w:firstLine="562" w:firstLineChars="200"/>
        <w:rPr>
          <w:rFonts w:ascii="楷体" w:hAnsi="楷体" w:eastAsia="楷体" w:cs="宋体"/>
          <w:b/>
          <w:bCs/>
          <w:kern w:val="0"/>
          <w:sz w:val="28"/>
          <w:szCs w:val="28"/>
        </w:rPr>
      </w:pPr>
      <w:r>
        <w:rPr>
          <w:rFonts w:hint="eastAsia" w:ascii="楷体" w:hAnsi="楷体" w:eastAsia="楷体" w:cs="华文楷体"/>
          <w:b/>
          <w:bCs/>
          <w:kern w:val="0"/>
          <w:sz w:val="28"/>
          <w:szCs w:val="28"/>
        </w:rPr>
        <w:t>（三）加强师资培训，提高教师水平</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为使专业教师尽快接受德国先进的职教理念和教学模式，试点项目加强了对教师的培训。机电专业部遴选了17名骨干教师，汽车专业部遴选了8位骨干教师，分别组成试点项目小组的执行教师，定期听德国专家讲课，按受专业培训。同时，学校按照中德合作项目师资配置要求，有计划、有层次地开展了专项培训，提高教师专业水平和职业技能。</w:t>
      </w:r>
    </w:p>
    <w:p>
      <w:p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（四）严格选拔条件，择优录取学员</w:t>
      </w:r>
    </w:p>
    <w:p>
      <w:pPr>
        <w:pBdr>
          <w:bottom w:val="single" w:color="FFFFFF" w:sz="4" w:space="31"/>
        </w:pBdr>
        <w:adjustRightInd w:val="0"/>
        <w:snapToGrid w:val="0"/>
        <w:spacing w:line="600" w:lineRule="exact"/>
        <w:ind w:firstLine="560" w:firstLineChars="200"/>
        <w:rPr>
          <w:rFonts w:ascii="仿宋" w:hAnsi="仿宋" w:eastAsia="仿宋" w:cs="仿宋"/>
          <w:sz w:val="32"/>
          <w:szCs w:val="32"/>
        </w:rPr>
      </w:pPr>
      <w:r>
        <w:rPr>
          <w:rFonts w:ascii="宋体" w:hAnsi="宋体" w:eastAsia="宋体"/>
          <w:sz w:val="28"/>
          <w:szCs w:val="28"/>
        </w:rPr>
        <w:drawing>
          <wp:anchor distT="0" distB="0" distL="114300" distR="114300" simplePos="0" relativeHeight="251659264" behindDoc="0" locked="0" layoutInCell="1" allowOverlap="1">
            <wp:simplePos x="0" y="0"/>
            <wp:positionH relativeFrom="column">
              <wp:posOffset>889635</wp:posOffset>
            </wp:positionH>
            <wp:positionV relativeFrom="paragraph">
              <wp:posOffset>2427605</wp:posOffset>
            </wp:positionV>
            <wp:extent cx="3721100" cy="2066925"/>
            <wp:effectExtent l="0" t="0" r="12700" b="9525"/>
            <wp:wrapNone/>
            <wp:docPr id="5" name="图片 5" descr="C:\Users\Administrator\Documents\Tencent Files\1229750355\Image\C2C\2A4B83F7121B18429A6889FB44F80C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Tencent Files\1229750355\Image\C2C\2A4B83F7121B18429A6889FB44F80C7E.png"/>
                    <pic:cNvPicPr>
                      <a:picLocks noChangeAspect="1" noChangeArrowheads="1"/>
                    </pic:cNvPicPr>
                  </pic:nvPicPr>
                  <pic:blipFill>
                    <a:blip r:embed="rId9" cstate="print">
                      <a:extLst>
                        <a:ext uri="{28A0092B-C50C-407E-A947-70E740481C1C}">
                          <a14:useLocalDpi xmlns:a14="http://schemas.microsoft.com/office/drawing/2010/main" val="0"/>
                        </a:ext>
                      </a:extLst>
                    </a:blip>
                    <a:srcRect b="20998"/>
                    <a:stretch>
                      <a:fillRect/>
                    </a:stretch>
                  </pic:blipFill>
                  <pic:spPr>
                    <a:xfrm>
                      <a:off x="0" y="0"/>
                      <a:ext cx="3721100" cy="2066925"/>
                    </a:xfrm>
                    <a:prstGeom prst="rect">
                      <a:avLst/>
                    </a:prstGeom>
                    <a:noFill/>
                    <a:ln>
                      <a:noFill/>
                    </a:ln>
                  </pic:spPr>
                </pic:pic>
              </a:graphicData>
            </a:graphic>
          </wp:anchor>
        </w:drawing>
      </w:r>
      <w:r>
        <w:rPr>
          <w:rFonts w:hint="eastAsia" w:ascii="仿宋" w:hAnsi="仿宋" w:eastAsia="仿宋" w:cs="仿宋"/>
          <w:sz w:val="32"/>
          <w:szCs w:val="32"/>
        </w:rPr>
        <w:t>为保证试点项目取得预期效果，中德试点项目专家组制定了严格的学员选拔标准。各项目严格根据选拔标准和选拔办法，通过笔试+面试的方式选拔出符合要求的学生进入试点班。试点班学生精神面貌和学习状态明显好于其他平行班，学习成绩和优质就业率也明显高于非试点班，受到德国专家、用人单位、家长和学生好评。</w:t>
      </w:r>
    </w:p>
    <w:p>
      <w:pPr>
        <w:widowControl/>
        <w:ind w:firstLine="560" w:firstLineChars="200"/>
        <w:jc w:val="left"/>
        <w:rPr>
          <w:rFonts w:ascii="宋体" w:hAnsi="宋体" w:eastAsia="宋体" w:cs="宋体"/>
          <w:kern w:val="0"/>
          <w:sz w:val="28"/>
          <w:szCs w:val="28"/>
        </w:rPr>
      </w:pPr>
    </w:p>
    <w:p>
      <w:pPr>
        <w:pStyle w:val="5"/>
        <w:rPr>
          <w:rFonts w:ascii="宋体" w:hAnsi="宋体" w:eastAsia="宋体" w:cs="宋体"/>
          <w:kern w:val="0"/>
          <w:sz w:val="28"/>
          <w:szCs w:val="28"/>
        </w:rPr>
      </w:pPr>
    </w:p>
    <w:p>
      <w:pPr>
        <w:rPr>
          <w:rFonts w:ascii="宋体" w:hAnsi="宋体" w:eastAsia="宋体" w:cs="宋体"/>
          <w:kern w:val="0"/>
          <w:sz w:val="28"/>
          <w:szCs w:val="28"/>
        </w:rPr>
      </w:pPr>
    </w:p>
    <w:p>
      <w:pPr>
        <w:pStyle w:val="5"/>
        <w:rPr>
          <w:rFonts w:ascii="宋体" w:hAnsi="宋体" w:eastAsia="宋体" w:cs="宋体"/>
          <w:kern w:val="0"/>
          <w:sz w:val="28"/>
          <w:szCs w:val="28"/>
        </w:rPr>
      </w:pPr>
    </w:p>
    <w:p/>
    <w:p>
      <w:pPr>
        <w:spacing w:line="220" w:lineRule="atLeast"/>
        <w:jc w:val="center"/>
        <w:rPr>
          <w:rFonts w:ascii="宋体" w:hAnsi="宋体" w:eastAsia="宋体"/>
          <w:w w:val="90"/>
          <w:szCs w:val="21"/>
        </w:rPr>
      </w:pPr>
    </w:p>
    <w:p>
      <w:pPr>
        <w:spacing w:line="220" w:lineRule="atLeast"/>
        <w:jc w:val="center"/>
        <w:rPr>
          <w:rFonts w:ascii="宋体" w:hAnsi="宋体" w:eastAsia="宋体"/>
          <w:w w:val="90"/>
          <w:szCs w:val="21"/>
        </w:rPr>
      </w:pPr>
      <w:r>
        <w:rPr>
          <w:rFonts w:hint="eastAsia" w:ascii="宋体" w:hAnsi="宋体" w:eastAsia="宋体"/>
          <w:w w:val="90"/>
          <w:szCs w:val="21"/>
        </w:rPr>
        <w:t>中德合作汽车机电维修项目德国专家舒卡琳老师在职培院开展项目教师培训</w:t>
      </w:r>
    </w:p>
    <w:p>
      <w:pPr>
        <w:pStyle w:val="5"/>
        <w:rPr>
          <w:rFonts w:ascii="宋体" w:hAnsi="宋体" w:eastAsia="宋体"/>
          <w:w w:val="90"/>
          <w:szCs w:val="21"/>
        </w:rPr>
      </w:pPr>
      <w:r>
        <w:rPr>
          <w:rFonts w:ascii="宋体" w:hAnsi="宋体" w:eastAsia="宋体"/>
          <w:w w:val="90"/>
          <w:szCs w:val="21"/>
        </w:rPr>
        <w:drawing>
          <wp:anchor distT="0" distB="0" distL="114300" distR="114300" simplePos="0" relativeHeight="251660288" behindDoc="0" locked="0" layoutInCell="1" allowOverlap="1">
            <wp:simplePos x="0" y="0"/>
            <wp:positionH relativeFrom="column">
              <wp:posOffset>1086485</wp:posOffset>
            </wp:positionH>
            <wp:positionV relativeFrom="paragraph">
              <wp:posOffset>-426720</wp:posOffset>
            </wp:positionV>
            <wp:extent cx="3716020" cy="2628900"/>
            <wp:effectExtent l="0" t="0" r="17780" b="0"/>
            <wp:wrapNone/>
            <wp:docPr id="6" name="图片 6" descr="IMG2019070314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201907031412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16020" cy="2628900"/>
                    </a:xfrm>
                    <a:prstGeom prst="rect">
                      <a:avLst/>
                    </a:prstGeom>
                    <a:noFill/>
                    <a:ln>
                      <a:noFill/>
                    </a:ln>
                  </pic:spPr>
                </pic:pic>
              </a:graphicData>
            </a:graphic>
          </wp:anchor>
        </w:drawing>
      </w:r>
    </w:p>
    <w:p>
      <w:pPr>
        <w:rPr>
          <w:rFonts w:ascii="宋体" w:hAnsi="宋体" w:eastAsia="宋体"/>
          <w:w w:val="90"/>
          <w:szCs w:val="21"/>
        </w:rPr>
      </w:pPr>
    </w:p>
    <w:p>
      <w:pPr>
        <w:pStyle w:val="5"/>
        <w:rPr>
          <w:rFonts w:ascii="宋体" w:hAnsi="宋体" w:eastAsia="宋体"/>
          <w:w w:val="90"/>
          <w:szCs w:val="21"/>
        </w:rPr>
      </w:pPr>
    </w:p>
    <w:p>
      <w:pPr>
        <w:rPr>
          <w:rFonts w:ascii="宋体" w:hAnsi="宋体" w:eastAsia="宋体"/>
          <w:w w:val="90"/>
          <w:szCs w:val="21"/>
        </w:rPr>
      </w:pPr>
    </w:p>
    <w:p>
      <w:pPr>
        <w:pStyle w:val="5"/>
        <w:rPr>
          <w:rFonts w:ascii="宋体" w:hAnsi="宋体" w:eastAsia="宋体"/>
          <w:w w:val="90"/>
          <w:szCs w:val="21"/>
        </w:rPr>
      </w:pPr>
    </w:p>
    <w:p>
      <w:pPr>
        <w:rPr>
          <w:rFonts w:ascii="宋体" w:hAnsi="宋体" w:eastAsia="宋体"/>
          <w:w w:val="90"/>
          <w:szCs w:val="21"/>
        </w:rPr>
      </w:pPr>
    </w:p>
    <w:p>
      <w:pPr>
        <w:pStyle w:val="5"/>
      </w:pPr>
    </w:p>
    <w:p>
      <w:pPr>
        <w:spacing w:line="220" w:lineRule="atLeast"/>
        <w:jc w:val="center"/>
        <w:rPr>
          <w:rFonts w:ascii="宋体" w:hAnsi="宋体" w:eastAsia="宋体"/>
          <w:w w:val="90"/>
          <w:szCs w:val="21"/>
        </w:rPr>
      </w:pPr>
    </w:p>
    <w:p>
      <w:pPr>
        <w:spacing w:line="220" w:lineRule="atLeast"/>
        <w:jc w:val="center"/>
        <w:rPr>
          <w:rFonts w:ascii="宋体" w:hAnsi="宋体" w:eastAsia="宋体"/>
          <w:w w:val="90"/>
          <w:szCs w:val="21"/>
        </w:rPr>
      </w:pPr>
      <w:r>
        <w:rPr>
          <w:rFonts w:hint="eastAsia" w:ascii="宋体" w:hAnsi="宋体" w:eastAsia="宋体"/>
          <w:w w:val="90"/>
          <w:szCs w:val="21"/>
        </w:rPr>
        <w:t>中德合作机电一体化项目德国专家博登老师在职培院开展机电一体化项目师资实操培训</w:t>
      </w:r>
    </w:p>
    <w:p>
      <w:pPr>
        <w:pStyle w:val="5"/>
        <w:rPr>
          <w:rFonts w:ascii="宋体" w:hAnsi="宋体" w:eastAsia="宋体"/>
          <w:w w:val="90"/>
          <w:szCs w:val="21"/>
        </w:rPr>
      </w:pPr>
      <w:r>
        <w:rPr>
          <w:rFonts w:ascii="宋体" w:hAnsi="宋体" w:eastAsia="宋体" w:cs="宋体"/>
          <w:sz w:val="28"/>
          <w:szCs w:val="28"/>
        </w:rPr>
        <w:drawing>
          <wp:anchor distT="0" distB="0" distL="114300" distR="114300" simplePos="0" relativeHeight="251661312" behindDoc="0" locked="0" layoutInCell="1" allowOverlap="1">
            <wp:simplePos x="0" y="0"/>
            <wp:positionH relativeFrom="column">
              <wp:posOffset>1169035</wp:posOffset>
            </wp:positionH>
            <wp:positionV relativeFrom="paragraph">
              <wp:posOffset>160655</wp:posOffset>
            </wp:positionV>
            <wp:extent cx="3599815" cy="2703195"/>
            <wp:effectExtent l="0" t="0" r="635" b="1905"/>
            <wp:wrapNone/>
            <wp:docPr id="7" name="图片 7" descr="IMG201901141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201901141332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99815" cy="2703195"/>
                    </a:xfrm>
                    <a:prstGeom prst="rect">
                      <a:avLst/>
                    </a:prstGeom>
                    <a:noFill/>
                    <a:ln>
                      <a:noFill/>
                    </a:ln>
                  </pic:spPr>
                </pic:pic>
              </a:graphicData>
            </a:graphic>
          </wp:anchor>
        </w:drawing>
      </w:r>
    </w:p>
    <w:p>
      <w:pPr>
        <w:rPr>
          <w:rFonts w:ascii="宋体" w:hAnsi="宋体" w:eastAsia="宋体"/>
          <w:w w:val="90"/>
          <w:szCs w:val="21"/>
        </w:rPr>
      </w:pPr>
    </w:p>
    <w:p>
      <w:pPr>
        <w:pStyle w:val="5"/>
        <w:rPr>
          <w:rFonts w:ascii="宋体" w:hAnsi="宋体" w:eastAsia="宋体"/>
          <w:w w:val="90"/>
          <w:szCs w:val="21"/>
        </w:rPr>
      </w:pPr>
    </w:p>
    <w:p>
      <w:pPr>
        <w:rPr>
          <w:rFonts w:ascii="宋体" w:hAnsi="宋体" w:eastAsia="宋体"/>
          <w:w w:val="90"/>
          <w:szCs w:val="21"/>
        </w:rPr>
      </w:pPr>
    </w:p>
    <w:p>
      <w:pPr>
        <w:pStyle w:val="5"/>
        <w:rPr>
          <w:rFonts w:ascii="宋体" w:hAnsi="宋体" w:eastAsia="宋体"/>
          <w:w w:val="90"/>
          <w:szCs w:val="21"/>
        </w:rPr>
      </w:pPr>
    </w:p>
    <w:p>
      <w:pPr>
        <w:rPr>
          <w:rFonts w:ascii="宋体" w:hAnsi="宋体" w:eastAsia="宋体"/>
          <w:w w:val="90"/>
          <w:szCs w:val="21"/>
        </w:rPr>
      </w:pPr>
    </w:p>
    <w:p>
      <w:pPr>
        <w:pStyle w:val="5"/>
      </w:pPr>
    </w:p>
    <w:p/>
    <w:p>
      <w:pPr>
        <w:pStyle w:val="5"/>
      </w:pPr>
    </w:p>
    <w:p/>
    <w:p>
      <w:pPr>
        <w:widowControl/>
        <w:spacing w:before="151" w:after="432"/>
        <w:jc w:val="left"/>
        <w:rPr>
          <w:rFonts w:ascii="宋体" w:hAnsi="宋体" w:eastAsia="宋体"/>
          <w:w w:val="90"/>
          <w:szCs w:val="21"/>
        </w:rPr>
      </w:pPr>
      <w:r>
        <w:rPr>
          <w:rFonts w:hint="eastAsia" w:ascii="宋体" w:hAnsi="宋体" w:eastAsia="宋体"/>
          <w:w w:val="90"/>
          <w:szCs w:val="21"/>
        </w:rPr>
        <w:t>中德合作机电一体化项目德国专家博登老师在职培院开展“机电一体化”项目第二次课程开发与研讨</w:t>
      </w:r>
    </w:p>
    <w:p>
      <w:pPr>
        <w:widowControl/>
        <w:ind w:left="420" w:leftChars="200"/>
        <w:jc w:val="left"/>
        <w:rPr>
          <w:rFonts w:ascii="黑体" w:hAnsi="黑体" w:eastAsia="黑体" w:cs="宋体"/>
          <w:kern w:val="0"/>
          <w:sz w:val="28"/>
          <w:szCs w:val="28"/>
        </w:rPr>
      </w:pPr>
      <w:r>
        <w:rPr>
          <w:rFonts w:hint="eastAsia" w:ascii="黑体" w:hAnsi="黑体" w:eastAsia="黑体" w:cs="宋体"/>
          <w:kern w:val="0"/>
          <w:sz w:val="28"/>
          <w:szCs w:val="28"/>
        </w:rPr>
        <w:t>三、成果</w:t>
      </w:r>
      <w:r>
        <w:rPr>
          <w:rFonts w:ascii="黑体" w:hAnsi="黑体" w:eastAsia="黑体" w:cs="宋体"/>
          <w:kern w:val="0"/>
          <w:sz w:val="28"/>
          <w:szCs w:val="28"/>
        </w:rPr>
        <w:t>成效</w:t>
      </w:r>
    </w:p>
    <w:p>
      <w:pPr>
        <w:widowControl/>
        <w:spacing w:before="151" w:after="432"/>
        <w:ind w:left="420" w:leftChars="200" w:firstLine="640" w:firstLineChars="200"/>
        <w:jc w:val="left"/>
        <w:rPr>
          <w:rFonts w:ascii="仿宋" w:hAnsi="仿宋" w:eastAsia="仿宋" w:cs="仿宋"/>
          <w:sz w:val="32"/>
          <w:szCs w:val="32"/>
        </w:rPr>
      </w:pPr>
      <w:r>
        <w:rPr>
          <w:rFonts w:hint="eastAsia" w:ascii="仿宋" w:hAnsi="仿宋" w:eastAsia="仿宋" w:cs="仿宋"/>
          <w:sz w:val="32"/>
          <w:szCs w:val="32"/>
        </w:rPr>
        <w:t>中德合作试点项目实施五年多来，对学校教育教学改革起到了有力的推动作用。从14个试点班,共计451人的反馈情况看，取得了积极的成果和成效。</w:t>
      </w:r>
    </w:p>
    <w:p>
      <w:pPr>
        <w:widowControl/>
        <w:spacing w:line="560" w:lineRule="exact"/>
        <w:ind w:firstLine="562" w:firstLineChars="200"/>
        <w:jc w:val="left"/>
        <w:rPr>
          <w:rFonts w:ascii="楷体" w:hAnsi="楷体" w:eastAsia="楷体" w:cs="华文楷体"/>
          <w:b/>
          <w:bCs/>
          <w:kern w:val="0"/>
          <w:sz w:val="28"/>
          <w:szCs w:val="28"/>
        </w:rPr>
      </w:pPr>
      <w:r>
        <w:rPr>
          <w:rFonts w:hint="eastAsia" w:ascii="楷体" w:hAnsi="楷体" w:eastAsia="楷体" w:cs="华文楷体"/>
          <w:b/>
          <w:bCs/>
          <w:kern w:val="0"/>
          <w:sz w:val="28"/>
          <w:szCs w:val="28"/>
        </w:rPr>
        <w:t>（一）理念转变，教师综合能力显著提升</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项目参与的教师在教育教学理念上发生了质的转变，逐步接受了德国先进的职教理念和教学模式，教学手段更丰富，专业理论知识更扎实，专业技能更全面。特别是通过"引导文教学法"的实践，创新了教学评价模式，促进了教师教学科研能力的提升，其研究课题《任务驱动教学法在机械加工技术专业中的应用》《校园文化融入优秀企业文化的实践研究》分别获得四川省教育科研资助金项目课题研究成果二等奖，一名项目试点班教师被四川轻化工大学聘任为职业教育专业硕士研究生校外指导教师。</w:t>
      </w:r>
    </w:p>
    <w:p>
      <w:p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（二）管理加强，学生技能品德齐头并进</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在项目试点过程中，学校围绕立德树人根本任务，坚持职业精神与职业技能培养相融合、职业道德与专业技能培养并重，强化项目试点班学生的思想教育和常规管理。形成了"三全六会"德育管理机制，并在试点班全面落实企业"8S管理"精细化管理，促进了学生综合素质和实践技能的提高，为培养德技双馨技术技能型人才做出了贡献。</w:t>
      </w:r>
    </w:p>
    <w:p>
      <w:p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（三）教改深入，人才培养质量显著提高</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在项目教学实施过程中，学校继续深化教学改革，应用德国"二元制"职教模式，改革传统教学方法，实施"引导文教学法"。该教学法的应用，学生靠自己查找信息学习知识，自己动手完成机械零件加工，培养了学生严谨的工作态度和精细和工匠精神，提高与他人进行专业信息交流和共同制订工作计划的能力，学习效果明显好于在课堂上单纯听讲的效果，学生职业能力和自我发展的能力得到有效提高。</w:t>
      </w:r>
    </w:p>
    <w:p>
      <w:p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（四）产教融合，校企合作深入推进</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校企合作、产教融合是推进项目实施的有效途径。航空及燃机零部件制造、汽车机电维修、机电一体化专业都是自贡市发展的新兴产业，需要大批经过专业系统学习培训的专业人才。在德国专家的指导下，项目对接企业需求，与企业深度合作，共同开发出融有德国职教元素的《教学法手册》《质量管理手册》《机械综合技术理论》《数控铣床工作页》等8本中德合作项目手册和校本教材，合作成果丰硕，成效明显。</w:t>
      </w:r>
    </w:p>
    <w:p>
      <w:pPr>
        <w:pBdr>
          <w:bottom w:val="single" w:color="FFFFFF" w:sz="4" w:space="31"/>
        </w:pBdr>
        <w:adjustRightInd w:val="0"/>
        <w:snapToGrid w:val="0"/>
        <w:spacing w:line="600" w:lineRule="exact"/>
        <w:ind w:firstLine="562" w:firstLineChars="200"/>
        <w:rPr>
          <w:rFonts w:ascii="楷体" w:hAnsi="楷体" w:eastAsia="楷体" w:cs="宋体"/>
          <w:kern w:val="0"/>
          <w:sz w:val="28"/>
          <w:szCs w:val="28"/>
        </w:rPr>
      </w:pPr>
      <w:r>
        <w:rPr>
          <w:rFonts w:hint="eastAsia" w:ascii="黑体" w:hAnsi="黑体" w:eastAsia="黑体" w:cs="黑体"/>
          <w:b/>
          <w:bCs/>
          <w:kern w:val="0"/>
          <w:sz w:val="28"/>
          <w:szCs w:val="28"/>
        </w:rPr>
        <w:t>四、经验总结</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中德合作职业教育试点推广项目”的实施，为学校尝试国际合作，探索德国及其他发达国家先进职教模式与本校教育教学、工匠人才培养的有机融合，形成本土化职业教育积累了经验，找到了路途，促进了学校办学水平和人才培养质量的提升。如航空及燃机零部件制造数控专业项目试点班引入德国先进办学理念，切合自贡航空燃机零部件生产企业实际，以"机械手"制作为载体组织教学和实训，约200道工序涵盖了数控加工常见的设备和技能，学生在任务驱动下，由传统的被动学习转变为主动学习，自主学习的能力增强，综合素质提高，深受企业欢迎。</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合作项目的实施，虽然取得了一定成效，但离德国专家组的要求还有一定差距，学校的实训条件还需要改进完善，教师和学生的职业能力需要不断提升。下一步，学校要加强与德国专家组的合作，在德方提供的课程大纲和教学计划的基础上，更多结合本土专业实际，不断总结提练，逐步形成德国职教元素与中国职教实际相融合的现代职教模式，并在实践中不断优化完善，促进学生职业技能和就业能力的提高，为服务成渝双城经济圈建设和再造产业自贡提供有力的人才和技工支撑。</w:t>
      </w:r>
    </w:p>
    <w:p>
      <w:pPr>
        <w:numPr>
          <w:ilvl w:val="0"/>
          <w:numId w:val="4"/>
        </w:numPr>
        <w:pBdr>
          <w:bottom w:val="single" w:color="FFFFFF" w:sz="4" w:space="31"/>
        </w:pBdr>
        <w:adjustRightInd w:val="0"/>
        <w:snapToGrid w:val="0"/>
        <w:spacing w:line="600" w:lineRule="exact"/>
        <w:ind w:firstLine="562" w:firstLineChars="200"/>
        <w:rPr>
          <w:rFonts w:ascii="黑体" w:hAnsi="黑体" w:eastAsia="黑体" w:cs="宋体"/>
          <w:b/>
          <w:color w:val="000000"/>
          <w:kern w:val="0"/>
          <w:sz w:val="28"/>
          <w:szCs w:val="28"/>
        </w:rPr>
      </w:pPr>
      <w:r>
        <w:rPr>
          <w:rFonts w:hint="eastAsia" w:ascii="黑体" w:hAnsi="黑体" w:eastAsia="黑体" w:cs="宋体"/>
          <w:b/>
          <w:color w:val="000000"/>
          <w:kern w:val="0"/>
          <w:sz w:val="28"/>
          <w:szCs w:val="28"/>
        </w:rPr>
        <w:t>推广应用</w:t>
      </w:r>
    </w:p>
    <w:p>
      <w:p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（一）校企合作，搭建项目推广平台</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项目实施过程中，海尔集团西南园区、中兴耐磨新材料有限公司、自贡海川实业有限公司等多家企业与学校深度合作，搭建项目推广平台，既解决了项目试点过程中生产实训问题，也向企业传播推广了德国先进的管理经验，促进了企业管理水平的提高。</w:t>
      </w:r>
    </w:p>
    <w:p>
      <w:pPr>
        <w:pBdr>
          <w:bottom w:val="single" w:color="FFFFFF" w:sz="4" w:space="31"/>
        </w:pBdr>
        <w:adjustRightInd w:val="0"/>
        <w:snapToGrid w:val="0"/>
        <w:spacing w:line="600" w:lineRule="exact"/>
        <w:ind w:firstLine="562" w:firstLineChars="200"/>
        <w:rPr>
          <w:rFonts w:ascii="宋体" w:hAnsi="宋体" w:eastAsia="宋体" w:cs="宋体"/>
          <w:b/>
          <w:bCs/>
          <w:sz w:val="28"/>
          <w:szCs w:val="28"/>
        </w:rPr>
      </w:pPr>
      <w:r>
        <w:rPr>
          <w:rFonts w:hint="eastAsia" w:ascii="楷体" w:hAnsi="楷体" w:eastAsia="楷体" w:cs="华文楷体"/>
          <w:b/>
          <w:bCs/>
          <w:kern w:val="0"/>
          <w:sz w:val="28"/>
          <w:szCs w:val="28"/>
        </w:rPr>
        <w:t>（二）交流学习，推广中德合作经验</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sectPr>
          <w:footerReference r:id="rId5" w:type="even"/>
          <w:pgSz w:w="11906" w:h="16838"/>
          <w:pgMar w:top="2098" w:right="1474" w:bottom="1985" w:left="1588" w:header="851" w:footer="1418" w:gutter="0"/>
          <w:cols w:space="425" w:num="1"/>
          <w:docGrid w:type="lines" w:linePitch="312" w:charSpace="0"/>
        </w:sectPr>
      </w:pPr>
      <w:r>
        <w:rPr>
          <w:rFonts w:hint="eastAsia" w:ascii="仿宋" w:hAnsi="仿宋" w:eastAsia="仿宋" w:cs="仿宋"/>
          <w:sz w:val="32"/>
          <w:szCs w:val="32"/>
        </w:rPr>
        <w:t>学校与德国合作的航空及燃机零部件制造、汽车维修等专业试点项目，为职业院校和企业产教融合发展提供了样板和借鉴。合作五年来，自贡职业技术学校等10余所市内外职业院校先后来校参观，交流学习中德合作项目经验，共同研究探索人才培养模式改革与实践，起到了很好的推广作用。</w:t>
      </w:r>
    </w:p>
    <w:p>
      <w:pPr>
        <w:pStyle w:val="5"/>
      </w:pPr>
      <w:r>
        <w:rPr>
          <w:rFonts w:hint="eastAsia"/>
        </w:rPr>
        <w:t>附件2</w:t>
      </w:r>
    </w:p>
    <w:p>
      <w:pPr>
        <w:widowControl/>
        <w:ind w:firstLine="495"/>
        <w:jc w:val="center"/>
        <w:rPr>
          <w:rFonts w:ascii="黑体" w:hAnsi="黑体" w:eastAsia="黑体" w:cs="黑体"/>
          <w:b/>
          <w:kern w:val="0"/>
          <w:sz w:val="36"/>
          <w:szCs w:val="36"/>
        </w:rPr>
      </w:pPr>
      <w:r>
        <w:rPr>
          <w:rFonts w:hint="eastAsia" w:ascii="黑体" w:hAnsi="黑体" w:eastAsia="黑体" w:cs="黑体"/>
          <w:b/>
          <w:kern w:val="0"/>
          <w:sz w:val="36"/>
          <w:szCs w:val="36"/>
        </w:rPr>
        <w:t>推进企业新型学徒制 服务产业转型升级</w:t>
      </w:r>
    </w:p>
    <w:p>
      <w:pPr>
        <w:widowControl/>
        <w:ind w:firstLine="495"/>
        <w:jc w:val="center"/>
        <w:rPr>
          <w:rFonts w:cs="华文宋体" w:asciiTheme="majorEastAsia" w:hAnsiTheme="majorEastAsia" w:eastAsiaTheme="majorEastAsia"/>
          <w:bCs/>
          <w:kern w:val="0"/>
          <w:sz w:val="28"/>
          <w:szCs w:val="28"/>
        </w:rPr>
      </w:pPr>
      <w:r>
        <w:rPr>
          <w:rFonts w:hint="eastAsia" w:cs="华文宋体" w:asciiTheme="majorEastAsia" w:hAnsiTheme="majorEastAsia" w:eastAsiaTheme="majorEastAsia"/>
          <w:bCs/>
          <w:kern w:val="0"/>
          <w:sz w:val="28"/>
          <w:szCs w:val="28"/>
        </w:rPr>
        <w:t>——新型学徒制促进企业转型升级典型案例</w:t>
      </w:r>
    </w:p>
    <w:p>
      <w:pPr>
        <w:widowControl/>
        <w:jc w:val="center"/>
        <w:rPr>
          <w:rFonts w:ascii="楷体" w:hAnsi="楷体" w:eastAsia="楷体" w:cs="宋体"/>
          <w:b/>
          <w:kern w:val="0"/>
          <w:sz w:val="28"/>
          <w:szCs w:val="28"/>
        </w:rPr>
      </w:pPr>
      <w:r>
        <w:rPr>
          <w:rFonts w:hint="eastAsia" w:ascii="楷体" w:hAnsi="楷体" w:eastAsia="楷体" w:cs="宋体"/>
          <w:bCs/>
          <w:kern w:val="0"/>
          <w:sz w:val="28"/>
          <w:szCs w:val="28"/>
        </w:rPr>
        <w:t>自贡市高级技工学校</w:t>
      </w:r>
    </w:p>
    <w:p>
      <w:pPr>
        <w:pBdr>
          <w:bottom w:val="single" w:color="FFFFFF" w:sz="4" w:space="31"/>
        </w:pBdr>
        <w:adjustRightInd w:val="0"/>
        <w:snapToGrid w:val="0"/>
        <w:spacing w:line="600" w:lineRule="exact"/>
        <w:ind w:firstLine="562" w:firstLineChars="200"/>
        <w:rPr>
          <w:rFonts w:ascii="仿宋" w:hAnsi="仿宋" w:eastAsia="仿宋" w:cs="仿宋"/>
          <w:sz w:val="32"/>
          <w:szCs w:val="32"/>
        </w:rPr>
      </w:pPr>
      <w:r>
        <w:rPr>
          <w:rFonts w:hint="eastAsia" w:ascii="宋体" w:hAnsi="宋体" w:eastAsia="宋体" w:cs="仿宋_GB2312"/>
          <w:b/>
          <w:color w:val="000000"/>
          <w:kern w:val="0"/>
          <w:sz w:val="28"/>
          <w:szCs w:val="28"/>
        </w:rPr>
        <w:t>摘要</w:t>
      </w:r>
      <w:r>
        <w:rPr>
          <w:rFonts w:hint="eastAsia" w:ascii="宋体" w:hAnsi="宋体" w:eastAsia="宋体" w:cs="仿宋_GB2312"/>
          <w:kern w:val="0"/>
          <w:sz w:val="28"/>
          <w:szCs w:val="28"/>
        </w:rPr>
        <w:t>：</w:t>
      </w:r>
      <w:r>
        <w:rPr>
          <w:rFonts w:hint="eastAsia" w:ascii="仿宋" w:hAnsi="仿宋" w:eastAsia="仿宋" w:cs="仿宋"/>
          <w:sz w:val="32"/>
          <w:szCs w:val="32"/>
        </w:rPr>
        <w:t>本案例结合了学校自身优势，在企业推行新型学徒制，面向企业职工开展技能培训的同时，为学员注册技工院校非全日学籍，通过企业导师及学校教师组成的“双师”团队开展教学，实现从教师——师傅、教室——车间、工位——岗位的自然转换。学员培训考核合格后取得相应技能等级证书和学历证书，让学员在技能提升的同时获得学历的认可。</w:t>
      </w:r>
    </w:p>
    <w:p>
      <w:pPr>
        <w:pBdr>
          <w:bottom w:val="single" w:color="FFFFFF" w:sz="4" w:space="31"/>
        </w:pBdr>
        <w:adjustRightInd w:val="0"/>
        <w:snapToGrid w:val="0"/>
        <w:spacing w:line="600" w:lineRule="exact"/>
        <w:ind w:firstLine="640" w:firstLineChars="200"/>
        <w:rPr>
          <w:rFonts w:eastAsia="仿宋"/>
        </w:rPr>
      </w:pPr>
      <w:r>
        <w:rPr>
          <w:rFonts w:hint="eastAsia" w:ascii="仿宋" w:hAnsi="仿宋" w:eastAsia="仿宋" w:cs="仿宋"/>
          <w:sz w:val="32"/>
          <w:szCs w:val="32"/>
        </w:rPr>
        <w:t>关键词：新型学徒  双师  非全日制</w:t>
      </w:r>
    </w:p>
    <w:p>
      <w:pPr>
        <w:pBdr>
          <w:bottom w:val="single" w:color="FFFFFF" w:sz="4" w:space="31"/>
        </w:pBdr>
        <w:adjustRightInd w:val="0"/>
        <w:snapToGrid w:val="0"/>
        <w:spacing w:line="600" w:lineRule="exact"/>
        <w:ind w:firstLine="843" w:firstLineChars="300"/>
        <w:rPr>
          <w:rFonts w:ascii="黑体" w:hAnsi="黑体" w:eastAsia="黑体" w:cs="宋体"/>
          <w:b/>
          <w:color w:val="000000"/>
          <w:kern w:val="0"/>
          <w:sz w:val="28"/>
          <w:szCs w:val="28"/>
        </w:rPr>
      </w:pPr>
      <w:r>
        <w:rPr>
          <w:rFonts w:hint="eastAsia" w:ascii="黑体" w:hAnsi="黑体" w:eastAsia="黑体" w:cs="宋体"/>
          <w:b/>
          <w:color w:val="000000"/>
          <w:kern w:val="0"/>
          <w:sz w:val="28"/>
          <w:szCs w:val="28"/>
        </w:rPr>
        <w:t>一、背景</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为进一步深化职业教育改革，推动建立产教融合、校企合作的技能人才培养模式，贯彻落实《国务院关于加快发展现代职业教育的决定》(国发(2014) 19号)、《人力资源社会保障部办公厅、财政部办公厅关于开展企业新型学徒制试点工作的通知》(人社厅发( 2015 )127号)、自贡市人社局、财政局《关于在全市推行新型学徒制的通知》(自人社发〔2019〕32号）等文件精神，2020年以来，学校积极对接地方主干产业和龙头企业，先后与四川川润动力设备有限公司、自贡公交集团、自贡泰威尔阀门制造有限公司、自贡市中兴耐磨新材料有限公司、自贡英祥国际大酒等10家企业合作，共同开展新型学徒制培训工作。涉及钳工、车工、焊工、电工、餐厅服务员等工种，培养目标为中、初级工，共计505人。在上级政府的关心支持和企校双方的共同努力下，企业新型学徒制培训项目进展较顺利，各项工作有序推进。</w:t>
      </w:r>
    </w:p>
    <w:p>
      <w:pPr>
        <w:pBdr>
          <w:bottom w:val="single" w:color="FFFFFF" w:sz="4" w:space="31"/>
        </w:pBdr>
        <w:adjustRightInd w:val="0"/>
        <w:snapToGrid w:val="0"/>
        <w:spacing w:line="600" w:lineRule="exact"/>
        <w:ind w:firstLine="843" w:firstLineChars="300"/>
        <w:rPr>
          <w:rFonts w:ascii="黑体" w:hAnsi="黑体" w:eastAsia="黑体" w:cs="宋体"/>
          <w:b/>
          <w:color w:val="000000"/>
          <w:kern w:val="0"/>
          <w:sz w:val="28"/>
          <w:szCs w:val="28"/>
        </w:rPr>
      </w:pPr>
      <w:r>
        <w:rPr>
          <w:rFonts w:hint="eastAsia" w:ascii="黑体" w:hAnsi="黑体" w:eastAsia="黑体" w:cs="宋体"/>
          <w:b/>
          <w:color w:val="000000"/>
          <w:kern w:val="0"/>
          <w:sz w:val="28"/>
          <w:szCs w:val="28"/>
        </w:rPr>
        <w:t>二、主要作法</w:t>
      </w:r>
    </w:p>
    <w:p>
      <w:p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（一）精细项目管理</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学校将企业新型学徒制项目列为年度重点工作，成立分管领导牵头的领导小组，负责试点工作规划、督导和协调工作。领导小组下设教学、管理、监督等三个工作小组，具体负责项目实施。根据培训工作要求，企校共同制定新型学徒制试点工作方案，分解落实工作责任，并指定工作任务的责任人。学校将新型学徒制培训项目纳入年度重点目标任务加以考核，考核结果与责任部]或责任人的年度绩效考核挂钩。</w:t>
      </w:r>
    </w:p>
    <w:p>
      <w:pPr>
        <w:numPr>
          <w:ilvl w:val="0"/>
          <w:numId w:val="5"/>
        </w:num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规范工作流程</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在深入学习领会文件精神的基础上，制定了企业新型学徒制工作流程：校企深入交流对接、组建项目团队、制定项目工作方案、制定管理制度、制定人才培养方案、落实师资设备场地、组织实施培训、项目过程监管及考核评价。同时明确每个环节的工作目标、要求、步骤及进度。</w:t>
      </w:r>
    </w:p>
    <w:p>
      <w:pPr>
        <w:numPr>
          <w:ilvl w:val="0"/>
          <w:numId w:val="5"/>
        </w:numPr>
        <w:pBdr>
          <w:bottom w:val="single" w:color="FFFFFF" w:sz="4" w:space="31"/>
        </w:pBdr>
        <w:adjustRightInd w:val="0"/>
        <w:snapToGrid w:val="0"/>
        <w:spacing w:line="600" w:lineRule="exact"/>
        <w:ind w:firstLine="562" w:firstLineChars="200"/>
        <w:rPr>
          <w:rFonts w:ascii="仿宋" w:hAnsi="仿宋" w:eastAsia="仿宋" w:cs="仿宋"/>
          <w:sz w:val="32"/>
          <w:szCs w:val="32"/>
        </w:rPr>
      </w:pPr>
      <w:r>
        <w:rPr>
          <w:rFonts w:hint="eastAsia" w:ascii="楷体" w:hAnsi="楷体" w:eastAsia="楷体" w:cs="华文楷体"/>
          <w:b/>
          <w:bCs/>
          <w:kern w:val="0"/>
          <w:sz w:val="28"/>
          <w:szCs w:val="28"/>
        </w:rPr>
        <w:t>定制培养方案</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按照“企业主导”、“一企一案”的原则，通过“实地调研、专题研讨、企业座谈、问卷调查”等方式，全面深入采集企业及学徒的培训需求，构建“20%通用素质能力+20%专业基础能力+60%岗位操作能力”的课程体系，形成具有鲜明企业特色的定制化人才培养方案。各新型学徒制人才培养方案制定过程均历时近1个月，参与人次近50人，采集企业或学徒信息多达100条，方案从草拟至定稿反复论证和修改达10余次，最终形成包括车工、钳工、电工、餐厅服务员等多个工种，涵盖各车间、岗位能力的人才培养方案。</w:t>
      </w:r>
    </w:p>
    <w:p>
      <w:pPr>
        <w:numPr>
          <w:ilvl w:val="0"/>
          <w:numId w:val="5"/>
        </w:num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优化教学组织</w:t>
      </w:r>
    </w:p>
    <w:p>
      <w:pPr>
        <w:pBdr>
          <w:bottom w:val="single" w:color="FFFFFF" w:sz="4" w:space="31"/>
        </w:pBdr>
        <w:adjustRightInd w:val="0"/>
        <w:snapToGrid w:val="0"/>
        <w:spacing w:line="600" w:lineRule="exact"/>
        <w:ind w:firstLine="960" w:firstLineChars="300"/>
        <w:rPr>
          <w:rFonts w:ascii="仿宋" w:hAnsi="仿宋" w:eastAsia="仿宋" w:cs="仿宋"/>
          <w:sz w:val="32"/>
          <w:szCs w:val="32"/>
        </w:rPr>
      </w:pPr>
      <w:r>
        <w:rPr>
          <w:rFonts w:hint="eastAsia" w:ascii="仿宋" w:hAnsi="仿宋" w:eastAsia="仿宋" w:cs="仿宋"/>
          <w:sz w:val="32"/>
          <w:szCs w:val="32"/>
        </w:rPr>
        <w:t>依据企业生产及学徒工特点，由企业导师及学校教师组成的“双师”团队开展深入研究，坚持“开放、灵活、多样”的教学组织原则，采用“讲授、观摩、示范、实操、岗位指导、多媒体、在线辅导、自学”等教学组织形式，实现从教师--师傅、教室--车间、 工位--岗位的自然转换。学校还根据课程难度大、学徒基础薄弱的情况，任课教师利用微信平台布置课前预习作业，如开发电工专用单片机实验板，借助网络教学资源库，多种教学方法和手段并用，产生了良好的教学效果。</w:t>
      </w:r>
    </w:p>
    <w:p>
      <w:pPr>
        <w:numPr>
          <w:ilvl w:val="0"/>
          <w:numId w:val="5"/>
        </w:num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严格考核评价</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根据上级主管部门对培训项目的监管要求，督导组制定项目考核评价方案，采用定期检查与随机抽查、过程性检查与效果监测相结合的方式，对项目实施进度、实施质量、实施效果开展阶段性评价，确保项目试点工作的有序推进。如自贡公交集团新型学徒制培训：督导组在一次例行检查中，发现到课率只有60%，当了解到是企业生产任务冲突造成的原因后，企业立即调整学徒工作时间，及时出台了学徒上课期间工时津贴发放办法，并配套出台学徒上课出勤考核奖励办法。</w:t>
      </w:r>
    </w:p>
    <w:p>
      <w:pPr>
        <w:numPr>
          <w:ilvl w:val="0"/>
          <w:numId w:val="3"/>
        </w:numPr>
        <w:pBdr>
          <w:bottom w:val="single" w:color="FFFFFF" w:sz="4" w:space="31"/>
        </w:pBdr>
        <w:adjustRightInd w:val="0"/>
        <w:snapToGrid w:val="0"/>
        <w:spacing w:line="600" w:lineRule="exact"/>
        <w:ind w:firstLine="562" w:firstLineChars="200"/>
        <w:rPr>
          <w:rFonts w:ascii="黑体" w:hAnsi="黑体" w:eastAsia="黑体" w:cs="宋体"/>
          <w:b/>
          <w:color w:val="000000"/>
          <w:kern w:val="0"/>
          <w:sz w:val="28"/>
          <w:szCs w:val="28"/>
        </w:rPr>
      </w:pPr>
      <w:r>
        <w:rPr>
          <w:rFonts w:hint="eastAsia" w:ascii="黑体" w:hAnsi="黑体" w:eastAsia="黑体" w:cs="宋体"/>
          <w:b/>
          <w:color w:val="000000"/>
          <w:kern w:val="0"/>
          <w:sz w:val="28"/>
          <w:szCs w:val="28"/>
        </w:rPr>
        <w:t>工作成效</w:t>
      </w:r>
    </w:p>
    <w:p>
      <w:pPr>
        <w:numPr>
          <w:ilvl w:val="0"/>
          <w:numId w:val="6"/>
        </w:num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企业积极性明显提高。</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培养对象均为企业的签约职工，培养的是企业自己的人，培养出来自己用。培养目标、内容和考核标准体现了企业的意志，由企业自己说了算。有政府、学校的人力财力支持，企业得到了实实在在的好处。企业的培训主体作用得到进一步 发挥，更加重视技能人才队伍建设。试点企业普遍反映，目前试点的工种还不够丰富，试点人数还不够多，希望今后进一步扩大试点范围和试点专业覆盖面，让更多的企业受益。</w:t>
      </w:r>
    </w:p>
    <w:p>
      <w:pPr>
        <w:numPr>
          <w:ilvl w:val="0"/>
          <w:numId w:val="6"/>
        </w:num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员工技能普遍提升</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通过培训，员工技能素质提升了，就业岗位稳定了，薪资水平提高了，他们更加敬业爱岗；企业生产效率提升了，产品的次品率下降了，产品质量得到了保障。职工待遇与技能挂钩的激励机制，进一步激励了员工学习技能的热情，试点企业普遍反映学徒的学习兴趣和综合素质等都有所提高。学徒的职业能力与入职多年老员工的差距快速缩小。</w:t>
      </w:r>
    </w:p>
    <w:p>
      <w:pPr>
        <w:numPr>
          <w:ilvl w:val="0"/>
          <w:numId w:val="6"/>
        </w:num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企业发展得到促进</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一是拓展了校企合作的深度和广度，促进学校与企业在专业建设、课程改革、师资培养、技术研发、办学质量评价、招生就业、职业培训等方面开展项目合作。二是将企业人才需求传导到学院，促进学院加快推进专业建设，深化教学改革。当前，学院正在将试点工作中的好做法在多个专业实践和推广。三是学院教师到企业实践，企业能工巧匠到学院兼职，既打造了一支专业水平高、操作能力强的企校双师队伍，又密切了校企联系。</w:t>
      </w:r>
    </w:p>
    <w:p>
      <w:pPr>
        <w:numPr>
          <w:ilvl w:val="0"/>
          <w:numId w:val="6"/>
        </w:numPr>
        <w:pBdr>
          <w:bottom w:val="single" w:color="FFFFFF" w:sz="4" w:space="31"/>
        </w:pBdr>
        <w:adjustRightInd w:val="0"/>
        <w:snapToGrid w:val="0"/>
        <w:spacing w:line="600" w:lineRule="exact"/>
        <w:ind w:firstLine="562" w:firstLineChars="200"/>
        <w:rPr>
          <w:rFonts w:ascii="楷体" w:hAnsi="楷体" w:eastAsia="楷体" w:cs="华文楷体"/>
          <w:b/>
          <w:bCs/>
          <w:kern w:val="0"/>
          <w:sz w:val="28"/>
          <w:szCs w:val="28"/>
        </w:rPr>
      </w:pPr>
      <w:r>
        <w:rPr>
          <w:rFonts w:hint="eastAsia" w:ascii="楷体" w:hAnsi="楷体" w:eastAsia="楷体" w:cs="华文楷体"/>
          <w:b/>
          <w:bCs/>
          <w:kern w:val="0"/>
          <w:sz w:val="28"/>
          <w:szCs w:val="28"/>
        </w:rPr>
        <w:t>丰富了企业新型学徒制实践</w:t>
      </w:r>
    </w:p>
    <w:p>
      <w:pPr>
        <w:pBdr>
          <w:bottom w:val="single" w:color="FFFFFF" w:sz="4" w:space="31"/>
        </w:pBd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一是通过试点，积累了企业新型学徒制人才培养的经验，形成了一定典型案例，为下一步企业新型学徒制工作的推广奠定了基础。二是政府提供一定的职业培训补贴，促进企业招用更多包括新生代农民工在内的青年劳动者，通过学徒制培训使其达到技能岗位要求，促进劳动者技能就业、技能成才。三是由于新型学徒期限为1-2年，可以促使企业与职工签订中长期劳动合同，提高劳动者的就业稳定性，从而收到促进就业和推动经济社会和谐发展的综合效果。</w:t>
      </w:r>
    </w:p>
    <w:p>
      <w:pPr>
        <w:pBdr>
          <w:bottom w:val="single" w:color="FFFFFF" w:sz="4" w:space="31"/>
        </w:pBdr>
        <w:adjustRightInd w:val="0"/>
        <w:snapToGrid w:val="0"/>
        <w:spacing w:line="600" w:lineRule="exact"/>
        <w:rPr>
          <w:rFonts w:ascii="仿宋" w:hAnsi="仿宋" w:eastAsia="仿宋" w:cs="仿宋"/>
          <w:sz w:val="32"/>
          <w:szCs w:val="32"/>
        </w:rPr>
      </w:pPr>
    </w:p>
    <w:p>
      <w:pPr>
        <w:pStyle w:val="5"/>
      </w:pPr>
      <w:r>
        <w:drawing>
          <wp:inline distT="0" distB="0" distL="114300" distR="114300">
            <wp:extent cx="2762885" cy="2028190"/>
            <wp:effectExtent l="0" t="0" r="1841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stretch>
                      <a:fillRect/>
                    </a:stretch>
                  </pic:blipFill>
                  <pic:spPr>
                    <a:xfrm>
                      <a:off x="0" y="0"/>
                      <a:ext cx="2762885" cy="2028190"/>
                    </a:xfrm>
                    <a:prstGeom prst="rect">
                      <a:avLst/>
                    </a:prstGeom>
                    <a:noFill/>
                    <a:ln>
                      <a:noFill/>
                    </a:ln>
                  </pic:spPr>
                </pic:pic>
              </a:graphicData>
            </a:graphic>
          </wp:inline>
        </w:drawing>
      </w:r>
      <w:r>
        <w:drawing>
          <wp:inline distT="0" distB="0" distL="114300" distR="114300">
            <wp:extent cx="2755265" cy="2032000"/>
            <wp:effectExtent l="0" t="0" r="698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stretch>
                      <a:fillRect/>
                    </a:stretch>
                  </pic:blipFill>
                  <pic:spPr>
                    <a:xfrm>
                      <a:off x="0" y="0"/>
                      <a:ext cx="2755265" cy="2032000"/>
                    </a:xfrm>
                    <a:prstGeom prst="rect">
                      <a:avLst/>
                    </a:prstGeom>
                    <a:noFill/>
                    <a:ln>
                      <a:noFill/>
                    </a:ln>
                  </pic:spPr>
                </pic:pic>
              </a:graphicData>
            </a:graphic>
          </wp:inline>
        </w:drawing>
      </w:r>
    </w:p>
    <w:p/>
    <w:p>
      <w:pPr>
        <w:pStyle w:val="5"/>
      </w:pPr>
      <w:r>
        <w:drawing>
          <wp:inline distT="0" distB="0" distL="114300" distR="114300">
            <wp:extent cx="2716530" cy="1809115"/>
            <wp:effectExtent l="0" t="0" r="762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stretch>
                      <a:fillRect/>
                    </a:stretch>
                  </pic:blipFill>
                  <pic:spPr>
                    <a:xfrm>
                      <a:off x="0" y="0"/>
                      <a:ext cx="2716530" cy="1809115"/>
                    </a:xfrm>
                    <a:prstGeom prst="rect">
                      <a:avLst/>
                    </a:prstGeom>
                    <a:noFill/>
                    <a:ln>
                      <a:noFill/>
                    </a:ln>
                  </pic:spPr>
                </pic:pic>
              </a:graphicData>
            </a:graphic>
          </wp:inline>
        </w:drawing>
      </w:r>
      <w:r>
        <w:drawing>
          <wp:inline distT="0" distB="0" distL="114300" distR="114300">
            <wp:extent cx="2788285" cy="1800860"/>
            <wp:effectExtent l="0" t="0" r="12065"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cstate="print"/>
                    <a:stretch>
                      <a:fillRect/>
                    </a:stretch>
                  </pic:blipFill>
                  <pic:spPr>
                    <a:xfrm>
                      <a:off x="0" y="0"/>
                      <a:ext cx="2788285" cy="1800860"/>
                    </a:xfrm>
                    <a:prstGeom prst="rect">
                      <a:avLst/>
                    </a:prstGeom>
                    <a:noFill/>
                    <a:ln>
                      <a:noFill/>
                    </a:ln>
                  </pic:spPr>
                </pic:pic>
              </a:graphicData>
            </a:graphic>
          </wp:inline>
        </w:drawing>
      </w:r>
    </w:p>
    <w:p>
      <w:pPr>
        <w:pBdr>
          <w:bottom w:val="single" w:color="FFFFFF" w:sz="4" w:space="31"/>
        </w:pBdr>
        <w:adjustRightInd w:val="0"/>
        <w:snapToGrid w:val="0"/>
        <w:spacing w:line="600" w:lineRule="exact"/>
        <w:ind w:firstLine="420" w:firstLineChars="200"/>
        <w:rPr>
          <w:rFonts w:ascii="仿宋" w:hAnsi="仿宋" w:eastAsia="仿宋" w:cs="仿宋"/>
          <w:sz w:val="32"/>
          <w:szCs w:val="32"/>
        </w:rPr>
      </w:pPr>
      <w:r>
        <w:drawing>
          <wp:anchor distT="0" distB="0" distL="114300" distR="114300" simplePos="0" relativeHeight="251664384" behindDoc="0" locked="0" layoutInCell="1" allowOverlap="1">
            <wp:simplePos x="0" y="0"/>
            <wp:positionH relativeFrom="column">
              <wp:posOffset>2762250</wp:posOffset>
            </wp:positionH>
            <wp:positionV relativeFrom="paragraph">
              <wp:posOffset>33020</wp:posOffset>
            </wp:positionV>
            <wp:extent cx="2811780" cy="1939925"/>
            <wp:effectExtent l="0" t="0" r="7620" b="3175"/>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cstate="print"/>
                    <a:stretch>
                      <a:fillRect/>
                    </a:stretch>
                  </pic:blipFill>
                  <pic:spPr>
                    <a:xfrm>
                      <a:off x="0" y="0"/>
                      <a:ext cx="2811780" cy="193992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-27940</wp:posOffset>
            </wp:positionH>
            <wp:positionV relativeFrom="paragraph">
              <wp:posOffset>51435</wp:posOffset>
            </wp:positionV>
            <wp:extent cx="2672715" cy="1890395"/>
            <wp:effectExtent l="0" t="0" r="13335" b="14605"/>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cstate="print"/>
                    <a:stretch>
                      <a:fillRect/>
                    </a:stretch>
                  </pic:blipFill>
                  <pic:spPr>
                    <a:xfrm>
                      <a:off x="0" y="0"/>
                      <a:ext cx="2672715" cy="1890395"/>
                    </a:xfrm>
                    <a:prstGeom prst="rect">
                      <a:avLst/>
                    </a:prstGeom>
                    <a:noFill/>
                    <a:ln>
                      <a:noFill/>
                    </a:ln>
                  </pic:spPr>
                </pic:pic>
              </a:graphicData>
            </a:graphic>
          </wp:anchor>
        </w:drawing>
      </w:r>
    </w:p>
    <w:p>
      <w:pPr>
        <w:pBdr>
          <w:bottom w:val="single" w:color="FFFFFF" w:sz="4" w:space="31"/>
        </w:pBdr>
        <w:adjustRightInd w:val="0"/>
        <w:snapToGrid w:val="0"/>
        <w:spacing w:line="600" w:lineRule="exact"/>
        <w:rPr>
          <w:rFonts w:ascii="仿宋" w:hAnsi="仿宋" w:eastAsia="仿宋" w:cs="仿宋"/>
          <w:sz w:val="32"/>
          <w:szCs w:val="32"/>
        </w:rPr>
      </w:pPr>
    </w:p>
    <w:p>
      <w:pPr>
        <w:pStyle w:val="5"/>
        <w:rPr>
          <w:rFonts w:ascii="仿宋" w:hAnsi="仿宋" w:eastAsia="仿宋" w:cs="仿宋"/>
        </w:rPr>
      </w:pPr>
    </w:p>
    <w:p>
      <w:pPr>
        <w:rPr>
          <w:rFonts w:ascii="仿宋" w:hAnsi="仿宋" w:eastAsia="仿宋" w:cs="仿宋"/>
          <w:sz w:val="32"/>
          <w:szCs w:val="32"/>
        </w:rPr>
      </w:pPr>
    </w:p>
    <w:p>
      <w:pPr>
        <w:rPr>
          <w:rFonts w:ascii="仿宋" w:hAnsi="仿宋" w:eastAsia="仿宋" w:cs="仿宋"/>
          <w:sz w:val="32"/>
          <w:szCs w:val="32"/>
        </w:rPr>
      </w:pPr>
    </w:p>
    <w:p>
      <w:pPr>
        <w:pStyle w:val="5"/>
        <w:jc w:val="center"/>
        <w:rPr>
          <w:rFonts w:ascii="宋体" w:hAnsi="宋体" w:eastAsia="宋体"/>
          <w:w w:val="90"/>
          <w:sz w:val="21"/>
          <w:szCs w:val="21"/>
        </w:rPr>
      </w:pPr>
      <w:r>
        <w:rPr>
          <w:rFonts w:hint="eastAsia" w:ascii="宋体" w:hAnsi="宋体" w:eastAsia="宋体"/>
          <w:w w:val="90"/>
          <w:sz w:val="21"/>
          <w:szCs w:val="21"/>
        </w:rPr>
        <w:t>部分企业新型学徒制培训开班</w:t>
      </w:r>
    </w:p>
    <w:p/>
    <w:sectPr>
      <w:pgSz w:w="11906" w:h="16838"/>
      <w:pgMar w:top="2098" w:right="1474" w:bottom="1985" w:left="1588" w:header="851" w:footer="141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宋体">
    <w:altName w:val="宋体"/>
    <w:panose1 w:val="00000000000000000000"/>
    <w:charset w:val="86"/>
    <w:family w:val="auto"/>
    <w:pitch w:val="default"/>
    <w:sig w:usb0="00000000" w:usb1="00000000" w:usb2="00000000" w:usb3="00000000" w:csb0="0004009F" w:csb1="DFD70000"/>
  </w:font>
  <w:font w:name="华文楷体">
    <w:altName w:val="宋体"/>
    <w:panose1 w:val="00000000000000000000"/>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jc w:val="right"/>
      <w:rPr>
        <w:rFonts w:asciiTheme="minorEastAsia" w:hAnsiTheme="minorEastAsia"/>
        <w:sz w:val="28"/>
        <w:szCs w:val="28"/>
      </w:rPr>
    </w:pPr>
    <w:r>
      <w:rPr>
        <w:rFonts w:asciiTheme="minorEastAsia" w:hAnsiTheme="minorEastAsia"/>
        <w:sz w:val="28"/>
        <w:szCs w:val="28"/>
      </w:rPr>
      <w:t>—</w:t>
    </w:r>
    <w:sdt>
      <w:sdtPr>
        <w:rPr>
          <w:rFonts w:asciiTheme="minorEastAsia" w:hAnsiTheme="minorEastAsia"/>
          <w:sz w:val="28"/>
          <w:szCs w:val="28"/>
        </w:rPr>
        <w:id w:val="-1124307110"/>
      </w:sdtPr>
      <w:sdtEndPr>
        <w:rPr>
          <w:rFonts w:asciiTheme="minorEastAsia" w:hAnsiTheme="minorEastAsia"/>
          <w:sz w:val="28"/>
          <w:szCs w:val="28"/>
        </w:rPr>
      </w:sdtEndPr>
      <w:sdtContent>
        <w:r>
          <w:rPr>
            <w:rFonts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49</w:t>
        </w:r>
        <w:r>
          <w:rPr>
            <w:rFonts w:asciiTheme="minorEastAsia" w:hAnsiTheme="minorEastAsia"/>
            <w:sz w:val="28"/>
            <w:szCs w:val="28"/>
          </w:rPr>
          <w:fldChar w:fldCharType="end"/>
        </w:r>
        <w:r>
          <w:rPr>
            <w:rFonts w:asciiTheme="minorEastAsia" w:hAnsiTheme="minorEastAsia"/>
            <w:sz w:val="28"/>
            <w:szCs w:val="28"/>
          </w:rPr>
          <w:t xml:space="preserve"> —</w:t>
        </w:r>
      </w:sdtContent>
    </w:sdt>
    <w:r>
      <w:rPr>
        <w:rFonts w:asciiTheme="minorEastAsia" w:hAnsiTheme="minorEastAsia"/>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280" w:firstLineChars="100"/>
      <w:rPr>
        <w:rFonts w:asciiTheme="minorEastAsia" w:hAnsiTheme="minorEastAsia"/>
        <w:sz w:val="28"/>
        <w:szCs w:val="28"/>
      </w:rPr>
    </w:pPr>
    <w:r>
      <w:rPr>
        <w:rFonts w:asciiTheme="minorEastAsia" w:hAnsiTheme="minorEastAsia"/>
        <w:sz w:val="28"/>
        <w:szCs w:val="28"/>
      </w:rPr>
      <w:t xml:space="preserve">— </w:t>
    </w:r>
    <w:sdt>
      <w:sdtPr>
        <w:rPr>
          <w:rFonts w:asciiTheme="minorEastAsia" w:hAnsiTheme="minorEastAsia"/>
          <w:sz w:val="28"/>
          <w:szCs w:val="28"/>
        </w:rPr>
        <w:id w:val="1619103654"/>
      </w:sdtPr>
      <w:sdtEndPr>
        <w:rPr>
          <w:rFonts w:asciiTheme="minorEastAsia" w:hAnsiTheme="minorEastAsia"/>
          <w:sz w:val="28"/>
          <w:szCs w:val="28"/>
        </w:rPr>
      </w:sdtEndPr>
      <w:sdtContent>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48</w:t>
        </w:r>
        <w:r>
          <w:rPr>
            <w:rFonts w:asciiTheme="minorEastAsia" w:hAnsiTheme="minorEastAsia"/>
            <w:sz w:val="28"/>
            <w:szCs w:val="28"/>
          </w:rPr>
          <w:fldChar w:fldCharType="end"/>
        </w:r>
        <w:r>
          <w:rPr>
            <w:rFonts w:asciiTheme="minorEastAsia" w:hAnsiTheme="minorEastAsia"/>
            <w:sz w:val="28"/>
            <w:szCs w:val="28"/>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8DC7D2"/>
    <w:multiLevelType w:val="singleLevel"/>
    <w:tmpl w:val="978DC7D2"/>
    <w:lvl w:ilvl="0" w:tentative="0">
      <w:start w:val="2"/>
      <w:numFmt w:val="chineseCounting"/>
      <w:suff w:val="nothing"/>
      <w:lvlText w:val="（%1）"/>
      <w:lvlJc w:val="left"/>
      <w:rPr>
        <w:rFonts w:hint="eastAsia"/>
      </w:rPr>
    </w:lvl>
  </w:abstractNum>
  <w:abstractNum w:abstractNumId="1">
    <w:nsid w:val="C156738B"/>
    <w:multiLevelType w:val="singleLevel"/>
    <w:tmpl w:val="C156738B"/>
    <w:lvl w:ilvl="0" w:tentative="0">
      <w:start w:val="2"/>
      <w:numFmt w:val="chineseCounting"/>
      <w:suff w:val="nothing"/>
      <w:lvlText w:val="%1、"/>
      <w:lvlJc w:val="left"/>
      <w:rPr>
        <w:rFonts w:hint="eastAsia"/>
      </w:rPr>
    </w:lvl>
  </w:abstractNum>
  <w:abstractNum w:abstractNumId="2">
    <w:nsid w:val="1ABEB9EE"/>
    <w:multiLevelType w:val="singleLevel"/>
    <w:tmpl w:val="1ABEB9EE"/>
    <w:lvl w:ilvl="0" w:tentative="0">
      <w:start w:val="10"/>
      <w:numFmt w:val="chineseCounting"/>
      <w:suff w:val="nothing"/>
      <w:lvlText w:val="%1、"/>
      <w:lvlJc w:val="left"/>
      <w:rPr>
        <w:rFonts w:hint="eastAsia"/>
      </w:rPr>
    </w:lvl>
  </w:abstractNum>
  <w:abstractNum w:abstractNumId="3">
    <w:nsid w:val="491CB91A"/>
    <w:multiLevelType w:val="singleLevel"/>
    <w:tmpl w:val="491CB91A"/>
    <w:lvl w:ilvl="0" w:tentative="0">
      <w:start w:val="5"/>
      <w:numFmt w:val="chineseCounting"/>
      <w:suff w:val="nothing"/>
      <w:lvlText w:val="%1、"/>
      <w:lvlJc w:val="left"/>
      <w:rPr>
        <w:rFonts w:hint="eastAsia"/>
      </w:rPr>
    </w:lvl>
  </w:abstractNum>
  <w:abstractNum w:abstractNumId="4">
    <w:nsid w:val="668A1344"/>
    <w:multiLevelType w:val="singleLevel"/>
    <w:tmpl w:val="668A1344"/>
    <w:lvl w:ilvl="0" w:tentative="0">
      <w:start w:val="7"/>
      <w:numFmt w:val="chineseCounting"/>
      <w:suff w:val="nothing"/>
      <w:lvlText w:val="%1、"/>
      <w:lvlJc w:val="left"/>
      <w:rPr>
        <w:rFonts w:hint="eastAsia"/>
      </w:rPr>
    </w:lvl>
  </w:abstractNum>
  <w:abstractNum w:abstractNumId="5">
    <w:nsid w:val="70EB81DF"/>
    <w:multiLevelType w:val="singleLevel"/>
    <w:tmpl w:val="70EB81DF"/>
    <w:lvl w:ilvl="0" w:tentative="0">
      <w:start w:val="1"/>
      <w:numFmt w:val="chineseCounting"/>
      <w:suff w:val="nothing"/>
      <w:lvlText w:val="（%1）"/>
      <w:lvlJc w:val="left"/>
      <w:rPr>
        <w:rFonts w:hint="eastAsia"/>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5MjlkNWZlOWRlZjJjNTAxNTdlNDBhYjQzNGVkM2MifQ=="/>
  </w:docVars>
  <w:rsids>
    <w:rsidRoot w:val="34DD3273"/>
    <w:rsid w:val="0A9143C2"/>
    <w:rsid w:val="155E448E"/>
    <w:rsid w:val="1A0E09F0"/>
    <w:rsid w:val="34DD3273"/>
    <w:rsid w:val="406E7B8B"/>
    <w:rsid w:val="432B1D63"/>
    <w:rsid w:val="474A0196"/>
    <w:rsid w:val="49CD5E4E"/>
    <w:rsid w:val="4E66331F"/>
    <w:rsid w:val="50185AB5"/>
    <w:rsid w:val="6EBE5584"/>
    <w:rsid w:val="7E472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outlineLvl w:val="0"/>
    </w:pPr>
    <w:rPr>
      <w:sz w:val="44"/>
      <w:szCs w:val="44"/>
    </w:rPr>
  </w:style>
  <w:style w:type="paragraph" w:styleId="3">
    <w:name w:val="heading 2"/>
    <w:basedOn w:val="1"/>
    <w:next w:val="1"/>
    <w:autoRedefine/>
    <w:qFormat/>
    <w:uiPriority w:val="1"/>
    <w:pPr>
      <w:spacing w:line="489" w:lineRule="exact"/>
      <w:ind w:left="228" w:hanging="481"/>
      <w:outlineLvl w:val="1"/>
    </w:pPr>
    <w:rPr>
      <w:rFonts w:ascii="微软雅黑" w:hAnsi="微软雅黑" w:eastAsia="微软雅黑" w:cs="微软雅黑"/>
      <w:b/>
      <w:bCs/>
      <w:sz w:val="32"/>
      <w:szCs w:val="32"/>
    </w:rPr>
  </w:style>
  <w:style w:type="character" w:default="1" w:styleId="10">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index 5"/>
    <w:basedOn w:val="1"/>
    <w:next w:val="1"/>
    <w:autoRedefine/>
    <w:qFormat/>
    <w:uiPriority w:val="0"/>
    <w:pPr>
      <w:ind w:left="1680"/>
    </w:pPr>
  </w:style>
  <w:style w:type="paragraph" w:styleId="5">
    <w:name w:val="Body Text"/>
    <w:basedOn w:val="1"/>
    <w:next w:val="1"/>
    <w:autoRedefine/>
    <w:qFormat/>
    <w:uiPriority w:val="1"/>
    <w:rPr>
      <w:sz w:val="32"/>
      <w:szCs w:val="32"/>
    </w:rPr>
  </w:style>
  <w:style w:type="paragraph" w:styleId="6">
    <w:name w:val="footer"/>
    <w:basedOn w:val="1"/>
    <w:autoRedefine/>
    <w:qFormat/>
    <w:uiPriority w:val="99"/>
    <w:pPr>
      <w:tabs>
        <w:tab w:val="center" w:pos="4153"/>
        <w:tab w:val="right" w:pos="8306"/>
      </w:tabs>
      <w:snapToGrid w:val="0"/>
      <w:jc w:val="left"/>
    </w:pPr>
    <w:rPr>
      <w:sz w:val="18"/>
      <w:szCs w:val="18"/>
    </w:rPr>
  </w:style>
  <w:style w:type="paragraph" w:styleId="7">
    <w:name w:val="Normal (Web)"/>
    <w:basedOn w:val="1"/>
    <w:autoRedefine/>
    <w:unhideWhenUsed/>
    <w:qFormat/>
    <w:uiPriority w:val="0"/>
    <w:pPr>
      <w:widowControl/>
      <w:spacing w:before="100" w:beforeAutospacing="1" w:after="100" w:afterAutospacing="1"/>
      <w:jc w:val="left"/>
    </w:pPr>
    <w:rPr>
      <w:rFonts w:ascii="宋体" w:hAnsi="宋体" w:eastAsia="宋体" w:cs="宋体"/>
      <w:kern w:val="0"/>
      <w:sz w:val="24"/>
    </w:rPr>
  </w:style>
  <w:style w:type="table" w:styleId="9">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1">
    <w:name w:val="Table Paragraph"/>
    <w:basedOn w:val="1"/>
    <w:autoRedefine/>
    <w:qFormat/>
    <w:uiPriority w:val="1"/>
  </w:style>
  <w:style w:type="table" w:customStyle="1" w:styleId="12">
    <w:name w:val="Table Normal"/>
    <w:autoRedefine/>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28781</Words>
  <Characters>32728</Characters>
  <Lines>0</Lines>
  <Paragraphs>0</Paragraphs>
  <TotalTime>77</TotalTime>
  <ScaleCrop>false</ScaleCrop>
  <LinksUpToDate>false</LinksUpToDate>
  <CharactersWithSpaces>32848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2023-06-14T04:33:00Z</dcterms:created>
  <dc:creator>莉</dc:creator>
  <cp:lastModifiedBy>周圣</cp:lastModifiedBy>
  <dcterms:modified xsi:type="dcterms:W3CDTF">2024-04-15T09:33:33Z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CDF5B40CC9CC4AB196473C747AE34AD6_13</vt:lpwstr>
  </property>
</Properties>
</file>