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BD84E">
      <w:pPr>
        <w:widowControl/>
        <w:spacing w:line="580" w:lineRule="exact"/>
        <w:jc w:val="center"/>
        <w:rPr>
          <w:rFonts w:ascii="方正小标宋简体" w:eastAsia="方正小标宋简体"/>
          <w:sz w:val="44"/>
          <w:szCs w:val="44"/>
        </w:rPr>
      </w:pPr>
      <w:r>
        <w:rPr>
          <w:rFonts w:hint="eastAsia" w:ascii="方正小标宋简体" w:eastAsia="方正小标宋简体"/>
          <w:sz w:val="44"/>
          <w:szCs w:val="44"/>
        </w:rPr>
        <w:t>自贡市职业培训学院</w:t>
      </w:r>
    </w:p>
    <w:p w14:paraId="0786C9F2">
      <w:pPr>
        <w:widowControl/>
        <w:spacing w:line="580" w:lineRule="exact"/>
        <w:jc w:val="center"/>
        <w:rPr>
          <w:rFonts w:ascii="方正小标宋简体" w:eastAsia="方正小标宋简体"/>
          <w:sz w:val="44"/>
          <w:szCs w:val="44"/>
        </w:rPr>
      </w:pPr>
      <w:bookmarkStart w:id="91" w:name="_GoBack"/>
      <w:r>
        <w:rPr>
          <w:rFonts w:hint="eastAsia" w:ascii="方正小标宋简体" w:eastAsia="方正小标宋简体"/>
          <w:sz w:val="44"/>
          <w:szCs w:val="44"/>
        </w:rPr>
        <w:t>2023年度单位决算编制的说明</w:t>
      </w:r>
    </w:p>
    <w:bookmarkEnd w:id="91"/>
    <w:p w14:paraId="1C4998AA">
      <w:pPr>
        <w:widowControl/>
        <w:jc w:val="center"/>
        <w:rPr>
          <w:rFonts w:ascii="仿宋_GB2312"/>
          <w:sz w:val="28"/>
          <w:szCs w:val="28"/>
        </w:rPr>
      </w:pPr>
    </w:p>
    <w:p w14:paraId="4C6E4CF9">
      <w:pPr>
        <w:widowControl/>
        <w:jc w:val="center"/>
        <w:rPr>
          <w:rFonts w:ascii="黑体" w:hAnsi="黑体" w:eastAsia="黑体"/>
          <w:color w:val="000000"/>
          <w:sz w:val="48"/>
          <w:szCs w:val="48"/>
        </w:rPr>
      </w:pPr>
      <w:r>
        <w:rPr>
          <w:rFonts w:hint="eastAsia" w:ascii="黑体" w:hAnsi="黑体" w:eastAsia="黑体"/>
          <w:color w:val="000000"/>
          <w:sz w:val="44"/>
          <w:szCs w:val="44"/>
        </w:rPr>
        <w:t>目 录</w:t>
      </w:r>
    </w:p>
    <w:p w14:paraId="582D01E4">
      <w:pPr>
        <w:pStyle w:val="10"/>
        <w:spacing w:line="500" w:lineRule="exact"/>
        <w:jc w:val="center"/>
        <w:rPr>
          <w:rFonts w:ascii="仿宋_GB2312" w:eastAsia="仿宋_GB2312"/>
          <w:i w:val="0"/>
          <w:sz w:val="32"/>
        </w:rPr>
      </w:pPr>
      <w:r>
        <w:rPr>
          <w:rFonts w:hint="eastAsia" w:ascii="仿宋_GB2312" w:eastAsia="仿宋_GB2312"/>
          <w:i w:val="0"/>
          <w:sz w:val="32"/>
        </w:rPr>
        <w:t>公开时间：2024年10月18日</w:t>
      </w:r>
    </w:p>
    <w:p w14:paraId="0F1E62D5">
      <w:pPr>
        <w:pStyle w:val="10"/>
        <w:tabs>
          <w:tab w:val="right" w:leader="dot" w:pos="8306"/>
        </w:tabs>
        <w:rPr>
          <w:rFonts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TOC \o "1-2" \h \z \u </w:instrText>
      </w:r>
      <w:r>
        <w:rPr>
          <w:rFonts w:hint="eastAsia" w:ascii="仿宋_GB2312" w:hAnsi="仿宋_GB2312" w:eastAsia="仿宋_GB2312" w:cs="仿宋_GB2312"/>
          <w:b w:val="0"/>
          <w:bCs w:val="0"/>
          <w:i w:val="0"/>
          <w:iCs w:val="0"/>
          <w:caps/>
          <w:sz w:val="32"/>
          <w:szCs w:val="32"/>
        </w:rPr>
        <w:fldChar w:fldCharType="separate"/>
      </w:r>
      <w:r>
        <w:fldChar w:fldCharType="begin"/>
      </w:r>
      <w:r>
        <w:instrText xml:space="preserve"> HYPERLINK \l "_Toc3028" </w:instrText>
      </w:r>
      <w:r>
        <w:fldChar w:fldCharType="separate"/>
      </w:r>
      <w:r>
        <w:rPr>
          <w:rFonts w:hint="eastAsia" w:ascii="仿宋_GB2312" w:hAnsi="仿宋_GB2312" w:eastAsia="仿宋_GB2312" w:cs="仿宋_GB2312"/>
          <w:b w:val="0"/>
          <w:bCs w:val="0"/>
          <w:i w:val="0"/>
          <w:iCs w:val="0"/>
          <w:sz w:val="32"/>
          <w:szCs w:val="32"/>
        </w:rPr>
        <w:t>第一部分 单位概况</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_Toc3028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1</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sz w:val="32"/>
          <w:szCs w:val="32"/>
        </w:rPr>
        <w:fldChar w:fldCharType="end"/>
      </w:r>
    </w:p>
    <w:p w14:paraId="6101F86D">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"_Toc13157" </w:instrText>
      </w:r>
      <w:r>
        <w:fldChar w:fldCharType="separate"/>
      </w:r>
      <w:r>
        <w:rPr>
          <w:rFonts w:hint="eastAsia" w:ascii="仿宋_GB2312" w:hAnsi="仿宋_GB2312" w:eastAsia="仿宋_GB2312" w:cs="仿宋_GB2312"/>
          <w:b w:val="0"/>
          <w:bCs w:val="0"/>
          <w:sz w:val="32"/>
          <w:szCs w:val="32"/>
        </w:rPr>
        <w:t>一、主要职责</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_Toc13157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4BC5423F">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"_Toc1989" </w:instrText>
      </w:r>
      <w:r>
        <w:fldChar w:fldCharType="separate"/>
      </w:r>
      <w:r>
        <w:rPr>
          <w:rFonts w:hint="eastAsia" w:ascii="仿宋_GB2312" w:hAnsi="仿宋_GB2312" w:eastAsia="仿宋_GB2312" w:cs="仿宋_GB2312"/>
          <w:b w:val="0"/>
          <w:bCs w:val="0"/>
          <w:sz w:val="32"/>
          <w:szCs w:val="32"/>
        </w:rPr>
        <w:t>二、机构设置</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_Toc1989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3095D988">
      <w:pPr>
        <w:pStyle w:val="10"/>
        <w:tabs>
          <w:tab w:val="right" w:leader="dot" w:pos="8306"/>
        </w:tabs>
        <w:rPr>
          <w:rFonts w:ascii="仿宋_GB2312" w:hAnsi="仿宋_GB2312" w:eastAsia="仿宋_GB2312" w:cs="仿宋_GB2312"/>
          <w:b w:val="0"/>
          <w:bCs w:val="0"/>
          <w:i w:val="0"/>
          <w:iCs w:val="0"/>
          <w:sz w:val="32"/>
          <w:szCs w:val="32"/>
        </w:rPr>
      </w:pPr>
      <w:r>
        <w:fldChar w:fldCharType="begin"/>
      </w:r>
      <w:r>
        <w:instrText xml:space="preserve"> HYPERLINK \l "_Toc13662" </w:instrText>
      </w:r>
      <w:r>
        <w:fldChar w:fldCharType="separate"/>
      </w:r>
      <w:r>
        <w:rPr>
          <w:rFonts w:hint="eastAsia" w:ascii="仿宋_GB2312" w:hAnsi="仿宋_GB2312" w:eastAsia="仿宋_GB2312" w:cs="仿宋_GB2312"/>
          <w:b w:val="0"/>
          <w:bCs w:val="0"/>
          <w:i w:val="0"/>
          <w:iCs w:val="0"/>
          <w:sz w:val="32"/>
          <w:szCs w:val="32"/>
        </w:rPr>
        <w:t>第二部分 2023年度单位决算情况说明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_Toc13662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2</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sz w:val="32"/>
          <w:szCs w:val="32"/>
        </w:rPr>
        <w:fldChar w:fldCharType="end"/>
      </w:r>
    </w:p>
    <w:p w14:paraId="5D30A80C">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"_Toc18582" </w:instrText>
      </w:r>
      <w:r>
        <w:fldChar w:fldCharType="separate"/>
      </w:r>
      <w:r>
        <w:rPr>
          <w:rFonts w:hint="eastAsia" w:ascii="仿宋_GB2312" w:hAnsi="仿宋_GB2312" w:eastAsia="仿宋_GB2312" w:cs="仿宋_GB2312"/>
          <w:b w:val="0"/>
          <w:bCs w:val="0"/>
          <w:sz w:val="32"/>
          <w:szCs w:val="32"/>
        </w:rPr>
        <w:t>一、 收入支出决算总体情况说明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_Toc18582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5C57BE87">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"_Toc9811" </w:instrText>
      </w:r>
      <w:r>
        <w:fldChar w:fldCharType="separate"/>
      </w:r>
      <w:r>
        <w:rPr>
          <w:rFonts w:hint="eastAsia" w:ascii="仿宋_GB2312" w:hAnsi="仿宋_GB2312" w:eastAsia="仿宋_GB2312" w:cs="仿宋_GB2312"/>
          <w:b w:val="0"/>
          <w:bCs w:val="0"/>
          <w:sz w:val="32"/>
          <w:szCs w:val="32"/>
        </w:rPr>
        <w:t>二、 收入决算情况说明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_Toc9811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752FE721">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"_Toc17567" </w:instrText>
      </w:r>
      <w:r>
        <w:fldChar w:fldCharType="separate"/>
      </w:r>
      <w:r>
        <w:rPr>
          <w:rFonts w:hint="eastAsia" w:ascii="仿宋_GB2312" w:hAnsi="仿宋_GB2312" w:eastAsia="仿宋_GB2312" w:cs="仿宋_GB2312"/>
          <w:b w:val="0"/>
          <w:bCs w:val="0"/>
          <w:sz w:val="32"/>
          <w:szCs w:val="32"/>
        </w:rPr>
        <w:t>三、 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_Toc17567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439288D3">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"_Toc2589" </w:instrText>
      </w:r>
      <w:r>
        <w:fldChar w:fldCharType="separate"/>
      </w:r>
      <w:r>
        <w:rPr>
          <w:rFonts w:hint="eastAsia" w:ascii="仿宋_GB2312" w:hAnsi="仿宋_GB2312" w:eastAsia="仿宋_GB2312" w:cs="仿宋_GB2312"/>
          <w:b w:val="0"/>
          <w:bCs w:val="0"/>
          <w:sz w:val="32"/>
          <w:szCs w:val="32"/>
        </w:rPr>
        <w:t>四、财政拨款收入支出决算总体情况说明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rPr>
        <w:fldChar w:fldCharType="end"/>
      </w:r>
    </w:p>
    <w:p w14:paraId="1ECD7847">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"_Toc17328" </w:instrText>
      </w:r>
      <w:r>
        <w:fldChar w:fldCharType="separate"/>
      </w:r>
      <w:r>
        <w:rPr>
          <w:rFonts w:hint="eastAsia" w:ascii="仿宋_GB2312" w:hAnsi="仿宋_GB2312" w:eastAsia="仿宋_GB2312" w:cs="仿宋_GB2312"/>
          <w:b w:val="0"/>
          <w:bCs w:val="0"/>
          <w:sz w:val="32"/>
          <w:szCs w:val="32"/>
        </w:rPr>
        <w:t>五、一般公共预算财政拨款支出决算情况说明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rPr>
        <w:fldChar w:fldCharType="end"/>
      </w:r>
    </w:p>
    <w:p w14:paraId="03C0ED06">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"_Toc30529" </w:instrText>
      </w:r>
      <w:r>
        <w:fldChar w:fldCharType="separate"/>
      </w:r>
      <w:r>
        <w:rPr>
          <w:rFonts w:hint="eastAsia" w:ascii="仿宋_GB2312" w:hAnsi="仿宋_GB2312" w:eastAsia="仿宋_GB2312" w:cs="仿宋_GB2312"/>
          <w:b w:val="0"/>
          <w:bCs w:val="0"/>
          <w:sz w:val="32"/>
          <w:szCs w:val="32"/>
        </w:rPr>
        <w:t>六、一般公共预算财政拨款基本支出决算情况说明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t>6</w:t>
      </w:r>
      <w:r>
        <w:rPr>
          <w:rFonts w:hint="eastAsia" w:ascii="仿宋_GB2312" w:hAnsi="仿宋_GB2312" w:eastAsia="仿宋_GB2312" w:cs="仿宋_GB2312"/>
          <w:b w:val="0"/>
          <w:bCs w:val="0"/>
          <w:sz w:val="32"/>
          <w:szCs w:val="32"/>
        </w:rPr>
        <w:fldChar w:fldCharType="end"/>
      </w:r>
    </w:p>
    <w:p w14:paraId="2BA29DB5">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"_Toc98" </w:instrText>
      </w:r>
      <w:r>
        <w:fldChar w:fldCharType="separate"/>
      </w:r>
      <w:r>
        <w:rPr>
          <w:rFonts w:hint="eastAsia" w:ascii="仿宋_GB2312" w:hAnsi="仿宋_GB2312" w:eastAsia="仿宋_GB2312" w:cs="仿宋_GB2312"/>
          <w:b w:val="0"/>
          <w:bCs w:val="0"/>
          <w:sz w:val="32"/>
          <w:szCs w:val="32"/>
        </w:rPr>
        <w:t>七、“三公”经费财政拨款支出决算情况说明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t>7</w:t>
      </w:r>
      <w:r>
        <w:rPr>
          <w:rFonts w:hint="eastAsia" w:ascii="仿宋_GB2312" w:hAnsi="仿宋_GB2312" w:eastAsia="仿宋_GB2312" w:cs="仿宋_GB2312"/>
          <w:b w:val="0"/>
          <w:bCs w:val="0"/>
          <w:sz w:val="32"/>
          <w:szCs w:val="32"/>
        </w:rPr>
        <w:fldChar w:fldCharType="end"/>
      </w:r>
    </w:p>
    <w:p w14:paraId="5DFA1303">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"_Toc27509" </w:instrText>
      </w:r>
      <w:r>
        <w:fldChar w:fldCharType="separate"/>
      </w:r>
      <w:r>
        <w:rPr>
          <w:rFonts w:hint="eastAsia" w:ascii="仿宋_GB2312" w:hAnsi="仿宋_GB2312" w:eastAsia="仿宋_GB2312" w:cs="仿宋_GB2312"/>
          <w:b w:val="0"/>
          <w:bCs w:val="0"/>
          <w:sz w:val="32"/>
          <w:szCs w:val="32"/>
        </w:rPr>
        <w:t>八、政府性基金预算支出决算情况说明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_Toc27509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1CC2CCC8">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"_Toc269" </w:instrText>
      </w:r>
      <w:r>
        <w:fldChar w:fldCharType="separate"/>
      </w:r>
      <w:r>
        <w:rPr>
          <w:rFonts w:hint="eastAsia" w:ascii="仿宋_GB2312" w:hAnsi="仿宋_GB2312" w:eastAsia="仿宋_GB2312" w:cs="仿宋_GB2312"/>
          <w:b w:val="0"/>
          <w:bCs w:val="0"/>
          <w:sz w:val="32"/>
          <w:szCs w:val="32"/>
        </w:rPr>
        <w:t>九、 国有资本经营预算支出决算情况说明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t>9</w:t>
      </w:r>
      <w:r>
        <w:rPr>
          <w:rFonts w:hint="eastAsia" w:ascii="仿宋_GB2312" w:hAnsi="仿宋_GB2312" w:eastAsia="仿宋_GB2312" w:cs="仿宋_GB2312"/>
          <w:b w:val="0"/>
          <w:bCs w:val="0"/>
          <w:sz w:val="32"/>
          <w:szCs w:val="32"/>
        </w:rPr>
        <w:fldChar w:fldCharType="end"/>
      </w:r>
    </w:p>
    <w:p w14:paraId="6C836583">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"_Toc15678" </w:instrText>
      </w:r>
      <w:r>
        <w:fldChar w:fldCharType="separate"/>
      </w:r>
      <w:r>
        <w:rPr>
          <w:rFonts w:hint="eastAsia" w:ascii="仿宋_GB2312" w:hAnsi="仿宋_GB2312" w:eastAsia="仿宋_GB2312" w:cs="仿宋_GB2312"/>
          <w:b w:val="0"/>
          <w:bCs w:val="0"/>
          <w:sz w:val="32"/>
          <w:szCs w:val="32"/>
        </w:rPr>
        <w:t>十、其他重要事项的情况说明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t>9</w:t>
      </w:r>
      <w:r>
        <w:rPr>
          <w:rFonts w:hint="eastAsia" w:ascii="仿宋_GB2312" w:hAnsi="仿宋_GB2312" w:eastAsia="仿宋_GB2312" w:cs="仿宋_GB2312"/>
          <w:b w:val="0"/>
          <w:bCs w:val="0"/>
          <w:sz w:val="32"/>
          <w:szCs w:val="32"/>
        </w:rPr>
        <w:fldChar w:fldCharType="end"/>
      </w:r>
    </w:p>
    <w:p w14:paraId="6068BC93">
      <w:pPr>
        <w:pStyle w:val="10"/>
        <w:tabs>
          <w:tab w:val="right" w:leader="dot" w:pos="8306"/>
        </w:tabs>
        <w:rPr>
          <w:rFonts w:ascii="仿宋_GB2312" w:hAnsi="仿宋_GB2312" w:eastAsia="仿宋_GB2312" w:cs="仿宋_GB2312"/>
          <w:b w:val="0"/>
          <w:bCs w:val="0"/>
          <w:i w:val="0"/>
          <w:iCs w:val="0"/>
          <w:sz w:val="32"/>
          <w:szCs w:val="32"/>
        </w:rPr>
      </w:pPr>
      <w:r>
        <w:fldChar w:fldCharType="begin"/>
      </w:r>
      <w:r>
        <w:instrText xml:space="preserve"> HYPERLINK \l "_Toc19818" </w:instrText>
      </w:r>
      <w:r>
        <w:fldChar w:fldCharType="separate"/>
      </w:r>
      <w:r>
        <w:rPr>
          <w:rFonts w:hint="eastAsia" w:ascii="仿宋_GB2312" w:hAnsi="仿宋_GB2312" w:eastAsia="仿宋_GB2312" w:cs="仿宋_GB2312"/>
          <w:b w:val="0"/>
          <w:bCs w:val="0"/>
          <w:i w:val="0"/>
          <w:iCs w:val="0"/>
          <w:sz w:val="32"/>
          <w:szCs w:val="32"/>
        </w:rPr>
        <w:t>第三部分 名词解释</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_Toc19818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11</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sz w:val="32"/>
          <w:szCs w:val="32"/>
        </w:rPr>
        <w:fldChar w:fldCharType="end"/>
      </w:r>
    </w:p>
    <w:p w14:paraId="1C3516EC">
      <w:pPr>
        <w:pStyle w:val="10"/>
        <w:tabs>
          <w:tab w:val="right" w:leader="dot" w:pos="8306"/>
        </w:tabs>
        <w:rPr>
          <w:rFonts w:ascii="仿宋_GB2312" w:hAnsi="仿宋_GB2312" w:eastAsia="仿宋_GB2312" w:cs="仿宋_GB2312"/>
          <w:b w:val="0"/>
          <w:bCs w:val="0"/>
          <w:i w:val="0"/>
          <w:iCs w:val="0"/>
          <w:sz w:val="32"/>
          <w:szCs w:val="32"/>
        </w:rPr>
      </w:pPr>
      <w:r>
        <w:fldChar w:fldCharType="begin"/>
      </w:r>
      <w:r>
        <w:instrText xml:space="preserve"> HYPERLINK \l "_Toc23450" </w:instrText>
      </w:r>
      <w:r>
        <w:fldChar w:fldCharType="separate"/>
      </w:r>
      <w:r>
        <w:rPr>
          <w:rFonts w:hint="eastAsia" w:ascii="仿宋_GB2312" w:hAnsi="仿宋_GB2312" w:eastAsia="仿宋_GB2312" w:cs="仿宋_GB2312"/>
          <w:b w:val="0"/>
          <w:bCs w:val="0"/>
          <w:i w:val="0"/>
          <w:iCs w:val="0"/>
          <w:sz w:val="32"/>
          <w:szCs w:val="32"/>
        </w:rPr>
        <w:t>第四部分 附件</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_Toc23450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13</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sz w:val="32"/>
          <w:szCs w:val="32"/>
        </w:rPr>
        <w:fldChar w:fldCharType="end"/>
      </w:r>
    </w:p>
    <w:p w14:paraId="6BC7AE1C">
      <w:pPr>
        <w:pStyle w:val="10"/>
        <w:tabs>
          <w:tab w:val="right" w:leader="dot" w:pos="8306"/>
        </w:tabs>
        <w:rPr>
          <w:rFonts w:ascii="仿宋_GB2312" w:hAnsi="仿宋_GB2312" w:eastAsia="仿宋_GB2312" w:cs="仿宋_GB2312"/>
          <w:b w:val="0"/>
          <w:bCs w:val="0"/>
          <w:i w:val="0"/>
          <w:iCs w:val="0"/>
          <w:sz w:val="32"/>
          <w:szCs w:val="32"/>
        </w:rPr>
      </w:pPr>
      <w:r>
        <w:fldChar w:fldCharType="begin"/>
      </w:r>
      <w:r>
        <w:instrText xml:space="preserve"> HYPERLINK \l "_Toc3613" </w:instrText>
      </w:r>
      <w:r>
        <w:fldChar w:fldCharType="separate"/>
      </w:r>
      <w:r>
        <w:rPr>
          <w:rFonts w:hint="eastAsia" w:ascii="仿宋_GB2312" w:hAnsi="仿宋_GB2312" w:eastAsia="仿宋_GB2312" w:cs="仿宋_GB2312"/>
          <w:b w:val="0"/>
          <w:bCs w:val="0"/>
          <w:i w:val="0"/>
          <w:iCs w:val="0"/>
          <w:sz w:val="32"/>
          <w:szCs w:val="32"/>
        </w:rPr>
        <w:t>第五部分 附表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_Toc3613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18</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sz w:val="32"/>
          <w:szCs w:val="32"/>
        </w:rPr>
        <w:fldChar w:fldCharType="end"/>
      </w:r>
    </w:p>
    <w:p w14:paraId="44E763BA">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"_Toc21455" </w:instrText>
      </w:r>
      <w:r>
        <w:fldChar w:fldCharType="separate"/>
      </w:r>
      <w:r>
        <w:rPr>
          <w:rFonts w:hint="eastAsia" w:ascii="仿宋_GB2312" w:hAnsi="仿宋_GB2312" w:eastAsia="仿宋_GB2312" w:cs="仿宋_GB2312"/>
          <w:b w:val="0"/>
          <w:bCs w:val="0"/>
          <w:sz w:val="32"/>
          <w:szCs w:val="32"/>
        </w:rPr>
        <w:t>一、收入支出决算总表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_Toc21455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270BC324">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"_Toc19902" </w:instrText>
      </w:r>
      <w:r>
        <w:fldChar w:fldCharType="separate"/>
      </w:r>
      <w:r>
        <w:rPr>
          <w:rFonts w:hint="eastAsia" w:ascii="仿宋_GB2312" w:hAnsi="仿宋_GB2312" w:eastAsia="仿宋_GB2312" w:cs="仿宋_GB2312"/>
          <w:b w:val="0"/>
          <w:bCs w:val="0"/>
          <w:sz w:val="32"/>
          <w:szCs w:val="32"/>
        </w:rPr>
        <w:t>二、收入决算表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_Toc19902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7B1DE9F4">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"_Toc5842" </w:instrText>
      </w:r>
      <w:r>
        <w:fldChar w:fldCharType="separate"/>
      </w:r>
      <w:r>
        <w:rPr>
          <w:rFonts w:hint="eastAsia" w:ascii="仿宋_GB2312" w:hAnsi="仿宋_GB2312" w:eastAsia="仿宋_GB2312" w:cs="仿宋_GB2312"/>
          <w:b w:val="0"/>
          <w:bCs w:val="0"/>
          <w:sz w:val="32"/>
          <w:szCs w:val="32"/>
        </w:rPr>
        <w:t>三、支出决算表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_Toc5842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39CA35F2">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"_Toc3877" </w:instrText>
      </w:r>
      <w:r>
        <w:fldChar w:fldCharType="separate"/>
      </w:r>
      <w:r>
        <w:rPr>
          <w:rFonts w:hint="eastAsia" w:ascii="仿宋_GB2312" w:hAnsi="仿宋_GB2312" w:eastAsia="仿宋_GB2312" w:cs="仿宋_GB2312"/>
          <w:b w:val="0"/>
          <w:bCs w:val="0"/>
          <w:sz w:val="32"/>
          <w:szCs w:val="32"/>
        </w:rPr>
        <w:t>四、财政拨款收入支出决算总表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_Toc3877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53238EC1">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"_Toc750" </w:instrText>
      </w:r>
      <w:r>
        <w:fldChar w:fldCharType="separate"/>
      </w:r>
      <w:r>
        <w:rPr>
          <w:rFonts w:hint="eastAsia" w:ascii="仿宋_GB2312" w:hAnsi="仿宋_GB2312" w:eastAsia="仿宋_GB2312" w:cs="仿宋_GB2312"/>
          <w:b w:val="0"/>
          <w:bCs w:val="0"/>
          <w:sz w:val="32"/>
          <w:szCs w:val="32"/>
        </w:rPr>
        <w:t>五、财政拨款支出决算明细表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_Toc750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6952D21A">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"_Toc19194" </w:instrText>
      </w:r>
      <w:r>
        <w:fldChar w:fldCharType="separate"/>
      </w:r>
      <w:r>
        <w:rPr>
          <w:rFonts w:hint="eastAsia" w:ascii="仿宋_GB2312" w:hAnsi="仿宋_GB2312" w:eastAsia="仿宋_GB2312" w:cs="仿宋_GB2312"/>
          <w:b w:val="0"/>
          <w:bCs w:val="0"/>
          <w:sz w:val="32"/>
          <w:szCs w:val="32"/>
        </w:rPr>
        <w:t>六、一般公共预算财政拨款支出决算表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_Toc19194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2A36D686">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"_Toc7054" </w:instrText>
      </w:r>
      <w:r>
        <w:fldChar w:fldCharType="separate"/>
      </w:r>
      <w:r>
        <w:rPr>
          <w:rFonts w:hint="eastAsia" w:ascii="仿宋_GB2312" w:hAnsi="仿宋_GB2312" w:eastAsia="仿宋_GB2312" w:cs="仿宋_GB2312"/>
          <w:b w:val="0"/>
          <w:bCs w:val="0"/>
          <w:sz w:val="32"/>
          <w:szCs w:val="32"/>
        </w:rPr>
        <w:t>七、一般公共预算财政拨款支出决算明细表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_Toc7054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34664CA9">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"_Toc14041" </w:instrText>
      </w:r>
      <w:r>
        <w:fldChar w:fldCharType="separate"/>
      </w:r>
      <w:r>
        <w:rPr>
          <w:rFonts w:hint="eastAsia" w:ascii="仿宋_GB2312" w:hAnsi="仿宋_GB2312" w:eastAsia="仿宋_GB2312" w:cs="仿宋_GB2312"/>
          <w:b w:val="0"/>
          <w:bCs w:val="0"/>
          <w:sz w:val="32"/>
          <w:szCs w:val="32"/>
        </w:rPr>
        <w:t>八、一般公共预算财政拨款基本支出决算表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_Toc14041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4A1B57B0">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"_Toc26706" </w:instrText>
      </w:r>
      <w:r>
        <w:fldChar w:fldCharType="separate"/>
      </w:r>
      <w:r>
        <w:rPr>
          <w:rFonts w:hint="eastAsia" w:ascii="仿宋_GB2312" w:hAnsi="仿宋_GB2312" w:eastAsia="仿宋_GB2312" w:cs="仿宋_GB2312"/>
          <w:b w:val="0"/>
          <w:bCs w:val="0"/>
          <w:sz w:val="32"/>
          <w:szCs w:val="32"/>
        </w:rPr>
        <w:t>九、一般公共预算财政拨款项目支出决算表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_Toc26706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0AE87B86">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"_Toc2700" </w:instrText>
      </w:r>
      <w:r>
        <w:fldChar w:fldCharType="separate"/>
      </w:r>
      <w:r>
        <w:rPr>
          <w:rFonts w:hint="eastAsia" w:ascii="仿宋_GB2312" w:hAnsi="仿宋_GB2312" w:eastAsia="仿宋_GB2312" w:cs="仿宋_GB2312"/>
          <w:b w:val="0"/>
          <w:bCs w:val="0"/>
          <w:sz w:val="32"/>
          <w:szCs w:val="32"/>
        </w:rPr>
        <w:t>十、政府性基金预算财政拨款收入支出决算表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_Toc2700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381E000A">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"_Toc32218" </w:instrText>
      </w:r>
      <w:r>
        <w:fldChar w:fldCharType="separate"/>
      </w:r>
      <w:r>
        <w:rPr>
          <w:rFonts w:hint="eastAsia" w:ascii="仿宋_GB2312" w:hAnsi="仿宋_GB2312" w:eastAsia="仿宋_GB2312" w:cs="仿宋_GB2312"/>
          <w:b w:val="0"/>
          <w:bCs w:val="0"/>
          <w:sz w:val="32"/>
          <w:szCs w:val="32"/>
        </w:rPr>
        <w:t>十一、国有资本经营预算财政拨款收入支出决算表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_Toc32218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3D8F6BB6">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"_Toc23596" </w:instrText>
      </w:r>
      <w:r>
        <w:fldChar w:fldCharType="separate"/>
      </w:r>
      <w:r>
        <w:rPr>
          <w:rFonts w:hint="eastAsia" w:ascii="仿宋_GB2312" w:hAnsi="仿宋_GB2312" w:eastAsia="仿宋_GB2312" w:cs="仿宋_GB2312"/>
          <w:b w:val="0"/>
          <w:bCs w:val="0"/>
          <w:sz w:val="32"/>
          <w:szCs w:val="32"/>
        </w:rPr>
        <w:t>十二、国有资本经营预算财政拨款支出决算表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_Toc23596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45F75686">
      <w:pPr>
        <w:pStyle w:val="11"/>
        <w:tabs>
          <w:tab w:val="right" w:leader="dot" w:pos="8306"/>
        </w:tabs>
        <w:rPr>
          <w:rFonts w:ascii="仿宋_GB2312" w:hAnsi="仿宋_GB2312" w:eastAsia="仿宋_GB2312" w:cs="仿宋_GB2312"/>
          <w:b w:val="0"/>
          <w:bCs w:val="0"/>
          <w:sz w:val="32"/>
          <w:szCs w:val="32"/>
        </w:rPr>
      </w:pPr>
      <w:r>
        <w:fldChar w:fldCharType="begin"/>
      </w:r>
      <w:r>
        <w:instrText xml:space="preserve"> HYPERLINK \l "_Toc1521" </w:instrText>
      </w:r>
      <w:r>
        <w:fldChar w:fldCharType="separate"/>
      </w:r>
      <w:r>
        <w:rPr>
          <w:rFonts w:hint="eastAsia" w:ascii="仿宋_GB2312" w:hAnsi="仿宋_GB2312" w:eastAsia="仿宋_GB2312" w:cs="仿宋_GB2312"/>
          <w:b w:val="0"/>
          <w:bCs w:val="0"/>
          <w:sz w:val="32"/>
          <w:szCs w:val="32"/>
        </w:rPr>
        <w:t>十三、财政拨款“三公”经费支出决算表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_Toc1521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18</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14:paraId="79F7232C">
      <w:pPr>
        <w:ind w:firstLine="2400" w:firstLineChars="750"/>
        <w:rPr>
          <w:rFonts w:ascii="仿宋_GB2312" w:hAnsi="仿宋"/>
          <w:color w:val="FF0000"/>
          <w:szCs w:val="32"/>
        </w:rPr>
      </w:pPr>
      <w:r>
        <w:rPr>
          <w:rFonts w:hint="eastAsia" w:ascii="仿宋_GB2312" w:hAnsi="仿宋_GB2312" w:cs="仿宋_GB2312"/>
          <w:caps/>
          <w:szCs w:val="32"/>
        </w:rPr>
        <w:fldChar w:fldCharType="end"/>
      </w:r>
    </w:p>
    <w:p w14:paraId="073E0EBD">
      <w:pPr>
        <w:pStyle w:val="3"/>
        <w:jc w:val="center"/>
        <w:rPr>
          <w:rFonts w:ascii="黑体" w:hAnsi="黑体" w:eastAsia="黑体"/>
          <w:b w:val="0"/>
        </w:rPr>
        <w:sectPr>
          <w:pgSz w:w="11906" w:h="16838"/>
          <w:pgMar w:top="1440" w:right="1800" w:bottom="1440" w:left="1800" w:header="851" w:footer="992" w:gutter="0"/>
          <w:cols w:space="425" w:num="1"/>
          <w:docGrid w:type="lines" w:linePitch="312" w:charSpace="0"/>
        </w:sectPr>
      </w:pPr>
    </w:p>
    <w:p w14:paraId="0D6F0AA7">
      <w:pPr>
        <w:pStyle w:val="3"/>
        <w:jc w:val="center"/>
        <w:rPr>
          <w:rStyle w:val="17"/>
          <w:rFonts w:ascii="黑体" w:hAnsi="黑体" w:eastAsia="黑体"/>
          <w:b/>
          <w:bCs w:val="0"/>
        </w:rPr>
      </w:pPr>
      <w:bookmarkStart w:id="0" w:name="_Toc3028"/>
      <w:r>
        <w:rPr>
          <w:rFonts w:hint="eastAsia" w:ascii="黑体" w:hAnsi="黑体" w:eastAsia="黑体"/>
          <w:b w:val="0"/>
        </w:rPr>
        <w:t>第一部分</w:t>
      </w:r>
      <w:r>
        <w:rPr>
          <w:rFonts w:ascii="黑体" w:hAnsi="黑体" w:eastAsia="黑体"/>
          <w:b w:val="0"/>
        </w:rPr>
        <w:t xml:space="preserve"> </w:t>
      </w:r>
      <w:r>
        <w:rPr>
          <w:rStyle w:val="17"/>
          <w:rFonts w:hint="eastAsia" w:ascii="黑体" w:hAnsi="黑体" w:eastAsia="黑体"/>
          <w:b w:val="0"/>
          <w:bCs w:val="0"/>
        </w:rPr>
        <w:t>单位概况</w:t>
      </w:r>
      <w:bookmarkEnd w:id="0"/>
    </w:p>
    <w:p w14:paraId="493EA63E">
      <w:pPr>
        <w:pStyle w:val="4"/>
        <w:spacing w:beforeLines="26" w:after="0" w:line="620" w:lineRule="exact"/>
        <w:rPr>
          <w:rStyle w:val="21"/>
          <w:rFonts w:ascii="黑体" w:hAnsi="黑体" w:eastAsia="黑体"/>
          <w:b w:val="0"/>
          <w:bCs w:val="0"/>
        </w:rPr>
      </w:pPr>
      <w:bookmarkStart w:id="1" w:name="_Toc13157"/>
      <w:bookmarkStart w:id="2" w:name="_Toc15396600"/>
      <w:bookmarkStart w:id="3" w:name="_Toc15377197"/>
      <w:r>
        <w:rPr>
          <w:rStyle w:val="21"/>
          <w:rFonts w:hint="eastAsia" w:ascii="黑体" w:hAnsi="黑体" w:eastAsia="黑体"/>
          <w:b w:val="0"/>
          <w:bCs w:val="0"/>
        </w:rPr>
        <w:t>一、主要职责</w:t>
      </w:r>
      <w:bookmarkEnd w:id="1"/>
    </w:p>
    <w:p w14:paraId="2B4779BB">
      <w:pPr>
        <w:pBdr>
          <w:bottom w:val="single" w:color="FFFFFF" w:sz="4" w:space="31"/>
        </w:pBdr>
        <w:adjustRightInd w:val="0"/>
        <w:snapToGrid w:val="0"/>
        <w:spacing w:line="620" w:lineRule="exact"/>
        <w:ind w:firstLine="640" w:firstLineChars="200"/>
        <w:rPr>
          <w:rFonts w:ascii="仿宋_GB2312" w:hAnsi="仿宋_GB2312" w:cs="仿宋_GB2312"/>
          <w:szCs w:val="32"/>
        </w:rPr>
      </w:pPr>
      <w:r>
        <w:rPr>
          <w:rFonts w:ascii="仿宋_GB2312" w:hAnsi="仿宋_GB2312" w:cs="仿宋_GB2312"/>
          <w:szCs w:val="32"/>
        </w:rPr>
        <w:t>自贡市职业培训学院(简称市职业培训学院)为市人力资源</w:t>
      </w:r>
      <w:r>
        <w:rPr>
          <w:rFonts w:hint="eastAsia" w:ascii="仿宋_GB2312" w:hAnsi="仿宋_GB2312" w:cs="仿宋_GB2312"/>
          <w:szCs w:val="32"/>
        </w:rPr>
        <w:t>和</w:t>
      </w:r>
      <w:r>
        <w:rPr>
          <w:rFonts w:ascii="仿宋_GB2312" w:hAnsi="仿宋_GB2312" w:cs="仿宋_GB2312"/>
          <w:szCs w:val="32"/>
        </w:rPr>
        <w:t>社会保障局所属公益二类事业单位，挂四川自贡市高级技工学</w:t>
      </w:r>
      <w:r>
        <w:rPr>
          <w:rFonts w:hint="eastAsia" w:ascii="仿宋_GB2312" w:hAnsi="仿宋_GB2312" w:cs="仿宋_GB2312"/>
          <w:szCs w:val="32"/>
        </w:rPr>
        <w:t>校</w:t>
      </w:r>
      <w:r>
        <w:rPr>
          <w:rFonts w:ascii="仿宋_GB2312" w:hAnsi="仿宋_GB2312" w:cs="仿宋_GB2312"/>
          <w:szCs w:val="32"/>
        </w:rPr>
        <w:t>、自贡市农民工培训学院牌子，主要承担全日制普通中等专业学历教育、劳动者技能培训等职责。</w:t>
      </w:r>
      <w:bookmarkStart w:id="4" w:name="_Toc1989"/>
    </w:p>
    <w:p w14:paraId="3E3D5B68">
      <w:pPr>
        <w:pBdr>
          <w:bottom w:val="single" w:color="FFFFFF" w:sz="4" w:space="31"/>
        </w:pBdr>
        <w:adjustRightInd w:val="0"/>
        <w:snapToGrid w:val="0"/>
        <w:spacing w:line="620" w:lineRule="exact"/>
        <w:rPr>
          <w:rFonts w:ascii="仿宋_GB2312" w:hAnsi="仿宋_GB2312" w:cs="仿宋_GB2312"/>
          <w:szCs w:val="32"/>
        </w:rPr>
      </w:pPr>
      <w:r>
        <w:rPr>
          <w:rFonts w:hint="eastAsia" w:ascii="黑体" w:hAnsi="黑体" w:eastAsia="黑体"/>
        </w:rPr>
        <w:t>二、</w:t>
      </w:r>
      <w:bookmarkEnd w:id="2"/>
      <w:bookmarkEnd w:id="3"/>
      <w:r>
        <w:rPr>
          <w:rFonts w:hint="eastAsia" w:ascii="黑体" w:hAnsi="黑体" w:eastAsia="黑体"/>
        </w:rPr>
        <w:t>机构设置</w:t>
      </w:r>
      <w:bookmarkEnd w:id="4"/>
      <w:bookmarkStart w:id="5" w:name="_Toc15377204"/>
      <w:bookmarkStart w:id="6" w:name="_Toc15396602"/>
    </w:p>
    <w:p w14:paraId="59060CC5">
      <w:pPr>
        <w:pBdr>
          <w:bottom w:val="single" w:color="FFFFFF" w:sz="4" w:space="31"/>
        </w:pBdr>
        <w:adjustRightInd w:val="0"/>
        <w:snapToGrid w:val="0"/>
        <w:spacing w:line="620" w:lineRule="exact"/>
        <w:ind w:firstLine="640" w:firstLineChars="200"/>
        <w:rPr>
          <w:rFonts w:ascii="仿宋_GB2312" w:hAnsi="仿宋_GB2312" w:cs="仿宋_GB2312"/>
          <w:szCs w:val="32"/>
        </w:rPr>
      </w:pPr>
      <w:r>
        <w:rPr>
          <w:rFonts w:hint="eastAsia" w:ascii="仿宋_GB2312" w:hAnsi="仿宋_GB2312" w:cs="仿宋_GB2312"/>
          <w:szCs w:val="32"/>
        </w:rPr>
        <w:t>我院设有党委办公室、办公室、招生就业指导办公室、计划财务处、短训鉴定开发处（农民工培训工作办公室）、后勤安全处、监审处、教务处、学生管理处、机电教研室、汽车应用与维护教研室、计算机应用教研室、财经旅游服务教研室、汽车驾驶技能教研室（自贡市汽车驾驶员培训学校）等14个内设机构。</w:t>
      </w:r>
      <w:r>
        <w:rPr>
          <w:rFonts w:hint="eastAsia" w:ascii="仿宋" w:hAnsi="仿宋" w:eastAsia="仿宋"/>
          <w:color w:val="000000"/>
          <w:szCs w:val="32"/>
        </w:rPr>
        <w:br w:type="page"/>
      </w:r>
    </w:p>
    <w:p w14:paraId="5682A338">
      <w:pPr>
        <w:pStyle w:val="3"/>
        <w:spacing w:line="500" w:lineRule="exact"/>
        <w:ind w:right="440"/>
        <w:jc w:val="right"/>
        <w:rPr>
          <w:rFonts w:ascii="黑体" w:hAnsi="黑体" w:eastAsia="黑体"/>
          <w:b w:val="0"/>
          <w:bCs w:val="0"/>
        </w:rPr>
      </w:pPr>
      <w:bookmarkStart w:id="7" w:name="_Toc13662"/>
      <w:r>
        <w:rPr>
          <w:rFonts w:hint="eastAsia" w:ascii="黑体" w:hAnsi="黑体" w:eastAsia="黑体"/>
          <w:b w:val="0"/>
          <w:color w:val="000000"/>
        </w:rPr>
        <w:t>第二部分</w:t>
      </w:r>
      <w:r>
        <w:rPr>
          <w:rFonts w:ascii="黑体" w:hAnsi="黑体" w:eastAsia="黑体"/>
          <w:color w:val="000000"/>
        </w:rPr>
        <w:t xml:space="preserve"> </w:t>
      </w:r>
      <w:r>
        <w:rPr>
          <w:rStyle w:val="17"/>
          <w:rFonts w:hint="eastAsia" w:ascii="黑体" w:hAnsi="黑体" w:eastAsia="黑体"/>
          <w:b w:val="0"/>
          <w:bCs w:val="0"/>
        </w:rPr>
        <w:t>2023年度单位决算情况说明</w:t>
      </w:r>
      <w:bookmarkEnd w:id="5"/>
      <w:bookmarkEnd w:id="6"/>
      <w:bookmarkEnd w:id="7"/>
    </w:p>
    <w:p w14:paraId="3DFBE210">
      <w:pPr>
        <w:pStyle w:val="19"/>
        <w:numPr>
          <w:ilvl w:val="0"/>
          <w:numId w:val="1"/>
        </w:numPr>
        <w:spacing w:line="500" w:lineRule="exact"/>
        <w:ind w:firstLineChars="0"/>
        <w:outlineLvl w:val="1"/>
        <w:rPr>
          <w:rStyle w:val="18"/>
          <w:rFonts w:ascii="黑体" w:hAnsi="黑体" w:eastAsia="黑体"/>
          <w:b w:val="0"/>
        </w:rPr>
      </w:pPr>
      <w:bookmarkStart w:id="8" w:name="_Toc15377205"/>
      <w:bookmarkStart w:id="9" w:name="_Toc18582"/>
      <w:bookmarkStart w:id="10" w:name="_Toc15396603"/>
      <w:r>
        <w:rPr>
          <w:rFonts w:hint="eastAsia" w:ascii="黑体" w:hAnsi="黑体" w:eastAsia="黑体"/>
          <w:color w:val="000000"/>
          <w:szCs w:val="32"/>
        </w:rPr>
        <w:t>收</w:t>
      </w:r>
      <w:r>
        <w:rPr>
          <w:rStyle w:val="18"/>
          <w:rFonts w:hint="eastAsia" w:ascii="黑体" w:hAnsi="黑体" w:eastAsia="黑体"/>
          <w:b w:val="0"/>
        </w:rPr>
        <w:t>入支出决算总体情况说明</w:t>
      </w:r>
      <w:bookmarkEnd w:id="8"/>
      <w:bookmarkEnd w:id="9"/>
      <w:bookmarkEnd w:id="10"/>
    </w:p>
    <w:p w14:paraId="04C830AE">
      <w:pPr>
        <w:spacing w:line="600" w:lineRule="exact"/>
        <w:ind w:firstLine="640" w:firstLineChars="200"/>
        <w:rPr>
          <w:rFonts w:ascii="仿宋_GB2312" w:hAnsi="仿宋_GB2312" w:cs="仿宋_GB2312"/>
          <w:szCs w:val="32"/>
        </w:rPr>
      </w:pPr>
      <w:r>
        <w:rPr>
          <w:rFonts w:hint="eastAsia" w:ascii="仿宋_GB2312" w:hAnsi="仿宋_GB2312" w:cs="仿宋_GB2312"/>
          <w:szCs w:val="32"/>
        </w:rPr>
        <w:t>2023年度收、支总计7429.65万元。与2022年相比，收、支总计各增加1485.78万元，增长25%。主要变动原因是2023年新增下达专项债券资金，用于偿还</w:t>
      </w:r>
      <w:r>
        <w:rPr>
          <w:rFonts w:ascii="仿宋_GB2312" w:hAnsi="仿宋_GB2312" w:cs="仿宋_GB2312"/>
          <w:szCs w:val="32"/>
        </w:rPr>
        <w:t>自贡市国有资本投资运营集团有限公司</w:t>
      </w:r>
      <w:r>
        <w:rPr>
          <w:rFonts w:hint="eastAsia" w:ascii="仿宋_GB2312" w:hAnsi="仿宋_GB2312" w:cs="仿宋_GB2312"/>
          <w:szCs w:val="32"/>
        </w:rPr>
        <w:t>前期工程债务。</w:t>
      </w:r>
    </w:p>
    <w:p w14:paraId="19E55A09">
      <w:pPr>
        <w:spacing w:line="600" w:lineRule="exact"/>
        <w:ind w:firstLine="640" w:firstLineChars="200"/>
        <w:jc w:val="left"/>
        <w:rPr>
          <w:rFonts w:ascii="仿宋_GB2312" w:hAnsi="仿宋_GB2312" w:cs="仿宋_GB2312"/>
          <w:szCs w:val="32"/>
        </w:rPr>
      </w:pPr>
      <w:r>
        <w:rPr>
          <w:rFonts w:hint="eastAsia" w:ascii="仿宋_GB2312" w:hAnsi="仿宋_GB2312" w:cs="仿宋_GB2312"/>
          <w:szCs w:val="32"/>
        </w:rPr>
        <w:t>（图1：收、支决算总计变动情况图）（柱状图）</w:t>
      </w:r>
    </w:p>
    <w:p w14:paraId="464065AF">
      <w:pPr>
        <w:pStyle w:val="2"/>
        <w:spacing w:before="93"/>
      </w:pPr>
      <w:r>
        <w:rPr>
          <w:rFonts w:hint="eastAsia"/>
        </w:rPr>
        <w:drawing>
          <wp:inline distT="0" distB="0" distL="0" distR="0">
            <wp:extent cx="5274310" cy="3076575"/>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8DE2427">
      <w:pPr>
        <w:pStyle w:val="19"/>
        <w:numPr>
          <w:ilvl w:val="0"/>
          <w:numId w:val="1"/>
        </w:numPr>
        <w:spacing w:line="600" w:lineRule="exact"/>
        <w:ind w:firstLineChars="0"/>
        <w:outlineLvl w:val="1"/>
        <w:rPr>
          <w:rStyle w:val="18"/>
          <w:rFonts w:ascii="黑体" w:hAnsi="黑体" w:eastAsia="黑体"/>
          <w:b w:val="0"/>
        </w:rPr>
      </w:pPr>
      <w:bookmarkStart w:id="11" w:name="_Toc15396604"/>
      <w:bookmarkStart w:id="12" w:name="_Toc804272208"/>
      <w:bookmarkStart w:id="13" w:name="_Toc15377206"/>
      <w:bookmarkStart w:id="14" w:name="_Toc9811"/>
      <w:r>
        <w:rPr>
          <w:rFonts w:hint="eastAsia" w:ascii="黑体" w:hAnsi="黑体" w:eastAsia="黑体"/>
          <w:color w:val="000000"/>
          <w:szCs w:val="32"/>
        </w:rPr>
        <w:t>收</w:t>
      </w:r>
      <w:r>
        <w:rPr>
          <w:rStyle w:val="18"/>
          <w:rFonts w:hint="eastAsia" w:ascii="黑体" w:hAnsi="黑体" w:eastAsia="黑体"/>
          <w:b w:val="0"/>
        </w:rPr>
        <w:t>入决算情况说明</w:t>
      </w:r>
      <w:bookmarkEnd w:id="11"/>
      <w:bookmarkEnd w:id="12"/>
      <w:bookmarkEnd w:id="13"/>
      <w:bookmarkEnd w:id="14"/>
    </w:p>
    <w:p w14:paraId="6526E44C">
      <w:pPr>
        <w:spacing w:line="600" w:lineRule="exact"/>
        <w:ind w:firstLine="640" w:firstLineChars="200"/>
        <w:rPr>
          <w:rFonts w:ascii="仿宋_GB2312" w:hAnsi="仿宋_GB2312" w:cs="仿宋_GB2312"/>
          <w:szCs w:val="32"/>
        </w:rPr>
      </w:pPr>
      <w:r>
        <w:rPr>
          <w:rFonts w:hint="eastAsia" w:ascii="仿宋_GB2312" w:hAnsi="仿宋_GB2312" w:cs="仿宋_GB2312"/>
          <w:szCs w:val="32"/>
        </w:rPr>
        <w:t>2023年本年收入合计7429.65万元，其中：一般公共预算财政拨款收入5062.98万元，占68.15%；政府性基金预算财政拨款收入2273.83万元，占30.6%；事业收入88.85万元，占1.2%；经营收入3.99万元，占0.05%。</w:t>
      </w:r>
    </w:p>
    <w:p w14:paraId="0FC75529">
      <w:pPr>
        <w:spacing w:line="60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（图2：收入决算结构图）（饼状图）</w:t>
      </w:r>
    </w:p>
    <w:p w14:paraId="4E991A24">
      <w:pPr>
        <w:pStyle w:val="2"/>
        <w:spacing w:before="93"/>
      </w:pPr>
      <w:r>
        <w:rPr>
          <w:rFonts w:hint="eastAsia"/>
        </w:rPr>
        <w:drawing>
          <wp:inline distT="0" distB="0" distL="0" distR="0">
            <wp:extent cx="5274310" cy="3143250"/>
            <wp:effectExtent l="19050" t="0" r="2159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E820A57">
      <w:pPr>
        <w:pStyle w:val="19"/>
        <w:numPr>
          <w:ilvl w:val="0"/>
          <w:numId w:val="1"/>
        </w:numPr>
        <w:spacing w:line="600" w:lineRule="exact"/>
        <w:ind w:firstLineChars="0"/>
        <w:outlineLvl w:val="1"/>
        <w:rPr>
          <w:rStyle w:val="18"/>
          <w:rFonts w:ascii="黑体" w:hAnsi="黑体" w:eastAsia="黑体"/>
          <w:b w:val="0"/>
        </w:rPr>
      </w:pPr>
      <w:bookmarkStart w:id="15" w:name="_Toc15396605"/>
      <w:bookmarkStart w:id="16" w:name="_Toc609704471"/>
      <w:bookmarkStart w:id="17" w:name="_Toc17567"/>
      <w:bookmarkStart w:id="18" w:name="_Toc15377207"/>
      <w:r>
        <w:rPr>
          <w:rFonts w:hint="eastAsia" w:ascii="黑体" w:hAnsi="黑体" w:eastAsia="黑体"/>
          <w:color w:val="000000"/>
          <w:szCs w:val="32"/>
        </w:rPr>
        <w:t>支</w:t>
      </w:r>
      <w:r>
        <w:rPr>
          <w:rStyle w:val="18"/>
          <w:rFonts w:hint="eastAsia" w:ascii="黑体" w:hAnsi="黑体" w:eastAsia="黑体"/>
          <w:b w:val="0"/>
        </w:rPr>
        <w:t>出决算情况说明</w:t>
      </w:r>
      <w:bookmarkEnd w:id="15"/>
      <w:bookmarkEnd w:id="16"/>
      <w:bookmarkEnd w:id="17"/>
      <w:bookmarkEnd w:id="18"/>
    </w:p>
    <w:p w14:paraId="3D4E0AB4">
      <w:pPr>
        <w:spacing w:line="600" w:lineRule="exact"/>
        <w:ind w:firstLine="640" w:firstLineChars="200"/>
        <w:rPr>
          <w:rFonts w:ascii="仿宋_GB2312" w:hAnsi="仿宋_GB2312" w:cs="仿宋_GB2312"/>
          <w:color w:val="000000"/>
          <w:szCs w:val="32"/>
        </w:rPr>
      </w:pPr>
      <w:r>
        <w:rPr>
          <w:rFonts w:hint="eastAsia" w:ascii="仿宋_GB2312" w:hAnsi="仿宋_GB2312" w:cs="仿宋_GB2312"/>
          <w:szCs w:val="32"/>
        </w:rPr>
        <w:t>2023年本年支出合计7429.65万元，其中：基本支出3839.5万元，占51.68%；项目支出3586.16万元，占48.27%；经营支出3.99万元，占0.05%。</w:t>
      </w:r>
    </w:p>
    <w:p w14:paraId="5B319697">
      <w:pPr>
        <w:spacing w:line="60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（图3：支出决算结构图）（饼状图）</w:t>
      </w:r>
    </w:p>
    <w:p w14:paraId="0B58F86C">
      <w:pPr>
        <w:pStyle w:val="2"/>
        <w:spacing w:before="93"/>
      </w:pPr>
      <w:r>
        <w:rPr>
          <w:rFonts w:hint="eastAsia"/>
        </w:rPr>
        <w:drawing>
          <wp:inline distT="0" distB="0" distL="0" distR="0">
            <wp:extent cx="5274310" cy="3076575"/>
            <wp:effectExtent l="19050" t="0" r="2159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046ACAF">
      <w:pPr>
        <w:spacing w:line="600" w:lineRule="exact"/>
        <w:ind w:firstLine="640" w:firstLineChars="200"/>
        <w:outlineLvl w:val="1"/>
        <w:rPr>
          <w:rFonts w:ascii="黑体" w:hAnsi="黑体" w:eastAsia="黑体"/>
          <w:color w:val="000000"/>
          <w:szCs w:val="32"/>
        </w:rPr>
      </w:pPr>
      <w:bookmarkStart w:id="19" w:name="_Toc15377208"/>
      <w:bookmarkStart w:id="20" w:name="_Toc15396606"/>
      <w:bookmarkStart w:id="21" w:name="_Toc2589"/>
      <w:bookmarkStart w:id="22" w:name="_Toc1887585605"/>
    </w:p>
    <w:p w14:paraId="0D40CBA3">
      <w:pPr>
        <w:spacing w:line="600" w:lineRule="exact"/>
        <w:ind w:firstLine="640" w:firstLineChars="200"/>
        <w:outlineLvl w:val="1"/>
        <w:rPr>
          <w:rStyle w:val="18"/>
          <w:rFonts w:ascii="黑体" w:hAnsi="黑体" w:eastAsia="黑体"/>
          <w:b w:val="0"/>
        </w:rPr>
      </w:pPr>
      <w:r>
        <w:rPr>
          <w:rFonts w:hint="eastAsia" w:ascii="黑体" w:hAnsi="黑体" w:eastAsia="黑体"/>
          <w:color w:val="000000"/>
          <w:szCs w:val="32"/>
        </w:rPr>
        <w:t>四、财</w:t>
      </w:r>
      <w:r>
        <w:rPr>
          <w:rStyle w:val="18"/>
          <w:rFonts w:hint="eastAsia" w:ascii="黑体" w:hAnsi="黑体" w:eastAsia="黑体"/>
          <w:b w:val="0"/>
        </w:rPr>
        <w:t>政拨款收入支出决算总体情况说明</w:t>
      </w:r>
      <w:bookmarkEnd w:id="19"/>
      <w:bookmarkEnd w:id="20"/>
      <w:bookmarkEnd w:id="21"/>
      <w:bookmarkEnd w:id="22"/>
    </w:p>
    <w:p w14:paraId="096F34B5">
      <w:pPr>
        <w:spacing w:line="600" w:lineRule="exact"/>
        <w:ind w:firstLine="640"/>
        <w:rPr>
          <w:rFonts w:ascii="仿宋" w:hAnsi="仿宋" w:eastAsia="仿宋"/>
          <w:szCs w:val="32"/>
        </w:rPr>
      </w:pPr>
      <w:r>
        <w:rPr>
          <w:rFonts w:hint="eastAsia" w:ascii="仿宋_GB2312" w:hAnsi="仿宋_GB2312" w:cs="仿宋_GB2312"/>
          <w:szCs w:val="32"/>
        </w:rPr>
        <w:t>2023年财政拨款收、支总计7336.81万元。与2022年相比，财政拨款收、支总计各增加1513.5万元，增长25.99%。主要变动原因是2023年新增下达专项债券资金，用于偿还</w:t>
      </w:r>
      <w:r>
        <w:rPr>
          <w:rFonts w:ascii="仿宋_GB2312" w:hAnsi="仿宋_GB2312" w:cs="仿宋_GB2312"/>
          <w:szCs w:val="32"/>
        </w:rPr>
        <w:t>自贡市国有资本投资运营集团有限公司</w:t>
      </w:r>
      <w:r>
        <w:rPr>
          <w:rFonts w:hint="eastAsia" w:ascii="仿宋_GB2312" w:hAnsi="仿宋_GB2312" w:cs="仿宋_GB2312"/>
          <w:szCs w:val="32"/>
        </w:rPr>
        <w:t>前期工程债务。</w:t>
      </w:r>
    </w:p>
    <w:p w14:paraId="38EDCD8C">
      <w:pPr>
        <w:spacing w:line="60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（图4：财政拨款收、支决算总计变动情况）（柱状图）</w:t>
      </w:r>
    </w:p>
    <w:p w14:paraId="16F74356">
      <w:pPr>
        <w:pStyle w:val="2"/>
        <w:spacing w:before="93"/>
      </w:pPr>
      <w:r>
        <w:drawing>
          <wp:inline distT="0" distB="0" distL="0" distR="0">
            <wp:extent cx="5274310" cy="3076575"/>
            <wp:effectExtent l="19050" t="0" r="2159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1151D1">
      <w:pPr>
        <w:spacing w:line="600" w:lineRule="exact"/>
        <w:ind w:firstLine="640" w:firstLineChars="200"/>
        <w:outlineLvl w:val="1"/>
        <w:rPr>
          <w:rStyle w:val="18"/>
          <w:rFonts w:ascii="黑体" w:hAnsi="黑体" w:eastAsia="黑体"/>
          <w:b w:val="0"/>
        </w:rPr>
      </w:pPr>
      <w:bookmarkStart w:id="23" w:name="_Toc883410705"/>
      <w:bookmarkStart w:id="24" w:name="_Toc15377209"/>
      <w:bookmarkStart w:id="25" w:name="_Toc15396607"/>
      <w:bookmarkStart w:id="26" w:name="_Toc17328"/>
      <w:r>
        <w:rPr>
          <w:rFonts w:hint="eastAsia" w:ascii="黑体" w:hAnsi="黑体" w:eastAsia="黑体"/>
          <w:color w:val="000000"/>
          <w:szCs w:val="32"/>
        </w:rPr>
        <w:t>五、</w:t>
      </w:r>
      <w:r>
        <w:rPr>
          <w:rFonts w:hint="eastAsia" w:ascii="黑体" w:hAnsi="黑体" w:eastAsia="黑体"/>
          <w:b/>
          <w:color w:val="000000"/>
          <w:szCs w:val="32"/>
        </w:rPr>
        <w:t>一</w:t>
      </w:r>
      <w:r>
        <w:rPr>
          <w:rStyle w:val="18"/>
          <w:rFonts w:hint="eastAsia" w:ascii="黑体" w:hAnsi="黑体" w:eastAsia="黑体"/>
          <w:b w:val="0"/>
        </w:rPr>
        <w:t>般公共预算财政拨款支出决算情况说明</w:t>
      </w:r>
      <w:bookmarkEnd w:id="23"/>
      <w:bookmarkEnd w:id="24"/>
      <w:bookmarkEnd w:id="25"/>
      <w:bookmarkEnd w:id="26"/>
    </w:p>
    <w:p w14:paraId="57F8D024">
      <w:pPr>
        <w:spacing w:line="600" w:lineRule="exact"/>
        <w:ind w:firstLine="643" w:firstLineChars="200"/>
        <w:outlineLvl w:val="2"/>
        <w:rPr>
          <w:rFonts w:ascii="仿宋" w:hAnsi="仿宋" w:eastAsia="仿宋"/>
          <w:b/>
          <w:color w:val="000000"/>
          <w:szCs w:val="32"/>
        </w:rPr>
      </w:pPr>
      <w:bookmarkStart w:id="27" w:name="_Toc15377210"/>
      <w:r>
        <w:rPr>
          <w:rFonts w:hint="eastAsia" w:ascii="仿宋" w:hAnsi="仿宋" w:eastAsia="仿宋"/>
          <w:b/>
          <w:color w:val="000000"/>
          <w:szCs w:val="32"/>
        </w:rPr>
        <w:t>（一）一般公共预算财政拨款支出决算总体情况</w:t>
      </w:r>
      <w:bookmarkEnd w:id="27"/>
    </w:p>
    <w:p w14:paraId="326102B8">
      <w:pPr>
        <w:spacing w:line="600" w:lineRule="exact"/>
        <w:ind w:firstLine="640" w:firstLineChars="200"/>
        <w:rPr>
          <w:rFonts w:ascii="仿宋_GB2312" w:hAnsi="仿宋_GB2312" w:cs="仿宋_GB2312"/>
          <w:szCs w:val="32"/>
        </w:rPr>
      </w:pPr>
      <w:r>
        <w:rPr>
          <w:rFonts w:hint="eastAsia" w:ascii="仿宋_GB2312" w:hAnsi="仿宋_GB2312" w:cs="仿宋_GB2312"/>
          <w:szCs w:val="32"/>
        </w:rPr>
        <w:t>2023年一般公共预算财政拨款支出5062.98万元，占本年支出合计的68.15%。与2022年相比，一般公共预算财政拨款支出减少760.33万元，下降13.06%。主要变动原因是本年部分偿债资金由政府性基金财政拨款下达，一般公共预算财政拨款相应减少。</w:t>
      </w:r>
    </w:p>
    <w:p w14:paraId="7ACD3247">
      <w:pPr>
        <w:spacing w:line="60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（图5：一般公共预算财政拨款支出决算变动情况）（柱状图）</w:t>
      </w:r>
    </w:p>
    <w:p w14:paraId="5AB75715">
      <w:pPr>
        <w:pStyle w:val="2"/>
        <w:spacing w:before="93"/>
      </w:pPr>
      <w:r>
        <w:drawing>
          <wp:inline distT="0" distB="0" distL="0" distR="0">
            <wp:extent cx="5274310" cy="3076575"/>
            <wp:effectExtent l="19050" t="0" r="2159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9C1735">
      <w:pPr>
        <w:spacing w:line="600" w:lineRule="exact"/>
        <w:ind w:firstLine="643" w:firstLineChars="200"/>
        <w:outlineLvl w:val="2"/>
        <w:rPr>
          <w:rFonts w:ascii="仿宋" w:hAnsi="仿宋" w:eastAsia="仿宋"/>
          <w:b/>
          <w:color w:val="000000"/>
          <w:szCs w:val="32"/>
        </w:rPr>
      </w:pPr>
      <w:bookmarkStart w:id="28" w:name="_Toc15377211"/>
      <w:r>
        <w:rPr>
          <w:rFonts w:hint="eastAsia" w:ascii="仿宋" w:hAnsi="仿宋" w:eastAsia="仿宋"/>
          <w:b/>
          <w:color w:val="000000"/>
          <w:szCs w:val="32"/>
        </w:rPr>
        <w:t>（二）一般公共预算财政拨款支出决算结构情况</w:t>
      </w:r>
      <w:bookmarkEnd w:id="28"/>
    </w:p>
    <w:p w14:paraId="54386BA0">
      <w:pPr>
        <w:spacing w:line="600" w:lineRule="exact"/>
        <w:ind w:firstLine="640"/>
        <w:rPr>
          <w:rFonts w:ascii="仿宋_GB2312" w:hAnsi="仿宋_GB2312" w:cs="仿宋_GB2312"/>
          <w:szCs w:val="32"/>
        </w:rPr>
      </w:pPr>
      <w:r>
        <w:rPr>
          <w:rFonts w:hint="eastAsia" w:ascii="仿宋_GB2312" w:hAnsi="仿宋_GB2312" w:cs="仿宋_GB2312"/>
          <w:szCs w:val="32"/>
        </w:rPr>
        <w:t>2023年一般公共预算财政拨款支出5062.98万元，主要用于以下方面:</w:t>
      </w:r>
      <w:r>
        <w:rPr>
          <w:rFonts w:hint="eastAsia" w:ascii="仿宋_GB2312" w:hAnsi="仿宋_GB2312" w:cs="仿宋_GB2312"/>
          <w:b/>
          <w:szCs w:val="32"/>
        </w:rPr>
        <w:t>教育支出</w:t>
      </w:r>
      <w:r>
        <w:rPr>
          <w:rFonts w:hint="eastAsia" w:ascii="仿宋_GB2312" w:hAnsi="仿宋_GB2312" w:cs="仿宋_GB2312"/>
          <w:szCs w:val="32"/>
        </w:rPr>
        <w:t>4265.97万元，占84.26%；</w:t>
      </w:r>
      <w:r>
        <w:rPr>
          <w:rFonts w:hint="eastAsia" w:ascii="仿宋_GB2312" w:hAnsi="仿宋_GB2312" w:cs="仿宋_GB2312"/>
          <w:b/>
          <w:szCs w:val="32"/>
        </w:rPr>
        <w:t>社会保障和就业</w:t>
      </w:r>
      <w:r>
        <w:rPr>
          <w:rFonts w:hint="eastAsia" w:ascii="仿宋_GB2312" w:hAnsi="仿宋_GB2312" w:cs="仿宋_GB2312"/>
          <w:b/>
          <w:bCs/>
          <w:szCs w:val="32"/>
        </w:rPr>
        <w:t>支出</w:t>
      </w:r>
      <w:r>
        <w:rPr>
          <w:rFonts w:hint="eastAsia" w:ascii="仿宋_GB2312" w:hAnsi="仿宋_GB2312" w:cs="仿宋_GB2312"/>
          <w:szCs w:val="32"/>
        </w:rPr>
        <w:t>797.01万元，占15.74%。</w:t>
      </w:r>
    </w:p>
    <w:p w14:paraId="462FACDE">
      <w:pPr>
        <w:spacing w:line="60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（图6：一般公共预算财政拨款支出决算结构）（饼状图）</w:t>
      </w:r>
    </w:p>
    <w:p w14:paraId="40E74FFC">
      <w:pPr>
        <w:pStyle w:val="2"/>
        <w:spacing w:before="93"/>
      </w:pPr>
      <w:r>
        <w:drawing>
          <wp:inline distT="0" distB="0" distL="0" distR="0">
            <wp:extent cx="5274310" cy="2790825"/>
            <wp:effectExtent l="19050" t="0" r="2159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DF01D7">
      <w:pPr>
        <w:spacing w:line="600" w:lineRule="exact"/>
        <w:ind w:firstLine="643" w:firstLineChars="200"/>
        <w:outlineLvl w:val="2"/>
        <w:rPr>
          <w:rFonts w:ascii="仿宋" w:hAnsi="仿宋" w:eastAsia="仿宋"/>
          <w:b/>
          <w:color w:val="000000"/>
          <w:szCs w:val="32"/>
        </w:rPr>
      </w:pPr>
      <w:bookmarkStart w:id="29" w:name="_Toc15377212"/>
      <w:r>
        <w:rPr>
          <w:rFonts w:hint="eastAsia" w:ascii="仿宋" w:hAnsi="仿宋" w:eastAsia="仿宋"/>
          <w:b/>
          <w:color w:val="000000"/>
          <w:szCs w:val="32"/>
        </w:rPr>
        <w:t>（三）一般公共预算财政拨款支出决算具体情况</w:t>
      </w:r>
      <w:bookmarkEnd w:id="29"/>
    </w:p>
    <w:p w14:paraId="1CF81421">
      <w:pPr>
        <w:spacing w:line="600" w:lineRule="exact"/>
        <w:ind w:firstLine="643" w:firstLineChars="200"/>
        <w:outlineLvl w:val="2"/>
        <w:rPr>
          <w:rFonts w:ascii="仿宋_GB2312" w:hAnsi="仿宋_GB2312" w:cs="仿宋_GB2312"/>
          <w:szCs w:val="32"/>
        </w:rPr>
      </w:pPr>
      <w:bookmarkStart w:id="30" w:name="_Toc15377213"/>
      <w:bookmarkStart w:id="31" w:name="_Toc15377444"/>
      <w:bookmarkStart w:id="32" w:name="_Toc15378460"/>
      <w:r>
        <w:rPr>
          <w:rFonts w:hint="eastAsia" w:ascii="仿宋_GB2312" w:hAnsi="仿宋_GB2312" w:cs="仿宋_GB2312"/>
          <w:b/>
          <w:szCs w:val="32"/>
        </w:rPr>
        <w:t>2023年一般公共预算支出决算数为5062.98万元</w:t>
      </w:r>
      <w:r>
        <w:rPr>
          <w:rFonts w:hint="eastAsia" w:ascii="仿宋_GB2312" w:hAnsi="仿宋_GB2312" w:cs="仿宋_GB2312"/>
          <w:szCs w:val="32"/>
        </w:rPr>
        <w:t>，</w:t>
      </w:r>
      <w:r>
        <w:rPr>
          <w:rStyle w:val="15"/>
          <w:rFonts w:hint="eastAsia" w:ascii="仿宋_GB2312" w:hAnsi="仿宋_GB2312" w:cs="仿宋_GB2312"/>
          <w:bCs/>
          <w:szCs w:val="32"/>
        </w:rPr>
        <w:t>完成预算100%。其中：</w:t>
      </w:r>
      <w:bookmarkEnd w:id="30"/>
      <w:bookmarkEnd w:id="31"/>
      <w:bookmarkEnd w:id="32"/>
    </w:p>
    <w:p w14:paraId="15B698D1">
      <w:pPr>
        <w:spacing w:line="600" w:lineRule="exact"/>
        <w:ind w:firstLine="643" w:firstLineChars="200"/>
        <w:rPr>
          <w:rStyle w:val="15"/>
          <w:rFonts w:ascii="仿宋_GB2312" w:hAnsi="仿宋_GB2312" w:cs="仿宋_GB2312"/>
          <w:b w:val="0"/>
          <w:bCs/>
          <w:szCs w:val="32"/>
        </w:rPr>
      </w:pPr>
      <w:r>
        <w:rPr>
          <w:rStyle w:val="15"/>
          <w:rFonts w:hint="eastAsia" w:ascii="仿宋_GB2312" w:hAnsi="仿宋_GB2312" w:cs="仿宋_GB2312"/>
          <w:bCs/>
          <w:szCs w:val="32"/>
        </w:rPr>
        <w:t>1.教育（类）职业教育（款）技校教育（项）:</w:t>
      </w:r>
      <w:r>
        <w:rPr>
          <w:rStyle w:val="15"/>
          <w:rFonts w:hint="eastAsia" w:ascii="仿宋_GB2312" w:hAnsi="仿宋_GB2312" w:cs="仿宋_GB2312"/>
          <w:b w:val="0"/>
          <w:bCs/>
          <w:szCs w:val="32"/>
        </w:rPr>
        <w:t xml:space="preserve"> 支出决算为4265.97万元，完成预算100%。</w:t>
      </w:r>
    </w:p>
    <w:p w14:paraId="5F41DE46">
      <w:pPr>
        <w:spacing w:line="600" w:lineRule="exact"/>
        <w:ind w:firstLine="482" w:firstLineChars="150"/>
        <w:rPr>
          <w:rFonts w:ascii="仿宋_GB2312" w:hAnsi="仿宋_GB2312" w:cs="仿宋_GB2312"/>
          <w:b/>
          <w:szCs w:val="32"/>
        </w:rPr>
      </w:pPr>
      <w:r>
        <w:rPr>
          <w:rStyle w:val="15"/>
          <w:rFonts w:hint="eastAsia" w:ascii="仿宋_GB2312" w:hAnsi="仿宋_GB2312" w:cs="仿宋_GB2312"/>
          <w:bCs/>
          <w:szCs w:val="32"/>
        </w:rPr>
        <w:t xml:space="preserve"> 2.社会保障和就业（类）</w:t>
      </w:r>
      <w:r>
        <w:rPr>
          <w:rStyle w:val="15"/>
          <w:rFonts w:hint="eastAsia" w:ascii="仿宋_GB2312" w:hAnsi="仿宋_GB2312" w:cs="仿宋_GB2312"/>
        </w:rPr>
        <w:t>行政事业单位养老支出</w:t>
      </w:r>
      <w:r>
        <w:rPr>
          <w:rStyle w:val="15"/>
          <w:rFonts w:hint="eastAsia" w:ascii="仿宋_GB2312" w:hAnsi="仿宋_GB2312" w:cs="仿宋_GB2312"/>
          <w:bCs/>
          <w:szCs w:val="32"/>
        </w:rPr>
        <w:t>（款）</w:t>
      </w:r>
      <w:r>
        <w:rPr>
          <w:rStyle w:val="15"/>
          <w:rFonts w:hint="eastAsia" w:ascii="仿宋_GB2312" w:hAnsi="仿宋_GB2312" w:cs="仿宋_GB2312"/>
        </w:rPr>
        <w:t>事业单位离退休</w:t>
      </w:r>
      <w:r>
        <w:rPr>
          <w:rStyle w:val="15"/>
          <w:rFonts w:hint="eastAsia" w:ascii="仿宋_GB2312" w:hAnsi="仿宋_GB2312" w:cs="仿宋_GB2312"/>
          <w:bCs/>
          <w:szCs w:val="32"/>
        </w:rPr>
        <w:t>（项）:</w:t>
      </w:r>
      <w:r>
        <w:rPr>
          <w:rStyle w:val="15"/>
          <w:rFonts w:hint="eastAsia" w:ascii="仿宋_GB2312" w:hAnsi="仿宋_GB2312" w:cs="仿宋_GB2312"/>
          <w:b w:val="0"/>
          <w:bCs/>
          <w:szCs w:val="32"/>
        </w:rPr>
        <w:t xml:space="preserve"> 支出决算为749.02万元，完成预算100%；</w:t>
      </w:r>
      <w:r>
        <w:rPr>
          <w:rStyle w:val="15"/>
          <w:rFonts w:hint="eastAsia" w:ascii="仿宋_GB2312" w:hAnsi="仿宋_GB2312" w:cs="仿宋_GB2312"/>
          <w:bCs/>
          <w:szCs w:val="32"/>
        </w:rPr>
        <w:t>社会保障和就业（类）</w:t>
      </w:r>
      <w:r>
        <w:rPr>
          <w:rStyle w:val="15"/>
          <w:rFonts w:hint="eastAsia" w:ascii="仿宋_GB2312" w:hAnsi="仿宋_GB2312" w:cs="仿宋_GB2312"/>
        </w:rPr>
        <w:t>抚恤（款）死亡抚恤（项）：</w:t>
      </w:r>
      <w:r>
        <w:rPr>
          <w:rStyle w:val="15"/>
          <w:rFonts w:hint="eastAsia" w:ascii="仿宋_GB2312" w:hAnsi="仿宋_GB2312" w:cs="仿宋_GB2312"/>
          <w:b w:val="0"/>
        </w:rPr>
        <w:t>支出决算</w:t>
      </w:r>
      <w:r>
        <w:rPr>
          <w:rStyle w:val="15"/>
          <w:rFonts w:hint="eastAsia" w:ascii="仿宋_GB2312" w:hAnsi="仿宋_GB2312" w:cs="仿宋_GB2312"/>
          <w:b w:val="0"/>
          <w:bCs/>
          <w:szCs w:val="32"/>
        </w:rPr>
        <w:t>47.99万元，完成预算100%。</w:t>
      </w:r>
    </w:p>
    <w:p w14:paraId="569EB5DF">
      <w:pPr>
        <w:tabs>
          <w:tab w:val="right" w:pos="8306"/>
        </w:tabs>
        <w:spacing w:line="600" w:lineRule="exact"/>
        <w:ind w:firstLine="640"/>
        <w:outlineLvl w:val="1"/>
        <w:rPr>
          <w:rStyle w:val="18"/>
        </w:rPr>
      </w:pPr>
      <w:bookmarkStart w:id="33" w:name="_Toc15396608"/>
      <w:bookmarkStart w:id="34" w:name="_Toc15377214"/>
      <w:bookmarkStart w:id="35" w:name="_Toc693483090"/>
      <w:bookmarkStart w:id="36" w:name="_Toc30529"/>
      <w:r>
        <w:rPr>
          <w:rFonts w:hint="eastAsia" w:ascii="黑体" w:eastAsia="黑体"/>
          <w:color w:val="000000"/>
          <w:szCs w:val="32"/>
        </w:rPr>
        <w:t>六</w:t>
      </w:r>
      <w:r>
        <w:rPr>
          <w:rFonts w:hint="eastAsia" w:ascii="黑体" w:eastAsia="黑体"/>
          <w:b/>
          <w:color w:val="000000"/>
          <w:szCs w:val="32"/>
        </w:rPr>
        <w:t>、</w:t>
      </w:r>
      <w:r>
        <w:rPr>
          <w:rFonts w:hint="eastAsia" w:ascii="黑体" w:hAnsi="黑体" w:eastAsia="黑体"/>
          <w:b/>
          <w:color w:val="000000"/>
          <w:szCs w:val="32"/>
        </w:rPr>
        <w:t>一</w:t>
      </w:r>
      <w:r>
        <w:rPr>
          <w:rStyle w:val="18"/>
          <w:rFonts w:hint="eastAsia" w:ascii="黑体" w:hAnsi="黑体" w:eastAsia="黑体"/>
          <w:b w:val="0"/>
        </w:rPr>
        <w:t>般公共预算财政拨款基本支出决算情况说明</w:t>
      </w:r>
      <w:bookmarkEnd w:id="33"/>
      <w:bookmarkEnd w:id="34"/>
      <w:bookmarkEnd w:id="35"/>
      <w:bookmarkEnd w:id="36"/>
      <w:r>
        <w:rPr>
          <w:rStyle w:val="18"/>
          <w:rFonts w:ascii="黑体" w:hAnsi="黑体" w:eastAsia="黑体"/>
          <w:b w:val="0"/>
        </w:rPr>
        <w:tab/>
      </w:r>
    </w:p>
    <w:p w14:paraId="1BF36CC2">
      <w:pPr>
        <w:spacing w:line="600" w:lineRule="exact"/>
        <w:ind w:firstLine="645"/>
        <w:rPr>
          <w:rFonts w:ascii="仿宋_GB2312" w:hAnsi="仿宋_GB2312" w:cs="仿宋_GB2312"/>
          <w:szCs w:val="32"/>
        </w:rPr>
      </w:pPr>
      <w:r>
        <w:rPr>
          <w:rFonts w:hint="eastAsia" w:ascii="仿宋_GB2312" w:hAnsi="仿宋_GB2312" w:cs="仿宋_GB2312"/>
          <w:szCs w:val="32"/>
        </w:rPr>
        <w:t>2023年一般公共预算财政拨款基本支出3750.65万元，其中：</w:t>
      </w:r>
    </w:p>
    <w:p w14:paraId="20FE037F">
      <w:pPr>
        <w:spacing w:line="600" w:lineRule="exact"/>
        <w:ind w:firstLine="645"/>
        <w:rPr>
          <w:rFonts w:ascii="仿宋_GB2312" w:hAnsi="仿宋_GB2312" w:cs="仿宋_GB2312"/>
          <w:color w:val="000000"/>
          <w:szCs w:val="32"/>
        </w:rPr>
      </w:pPr>
      <w:r>
        <w:rPr>
          <w:rFonts w:hint="eastAsia" w:ascii="仿宋_GB2312" w:hAnsi="仿宋_GB2312" w:cs="仿宋_GB2312"/>
          <w:szCs w:val="32"/>
        </w:rPr>
        <w:t>人员经费3187.9万元，主要包括：基本工资、津贴补贴、绩效工资、机关事业单位基本养老保险缴费、职业年金缴费、其他社会保障缴费、其他工资福利支出、离休费、退休费、抚恤金、生活补助、住房公积金、其他对个人和家庭的补助支出等。</w:t>
      </w:r>
      <w:r>
        <w:rPr>
          <w:rFonts w:hint="eastAsia" w:ascii="仿宋_GB2312" w:hAnsi="仿宋_GB2312" w:cs="仿宋_GB2312"/>
          <w:szCs w:val="32"/>
        </w:rPr>
        <w:br w:type="textWrapping"/>
      </w:r>
      <w:r>
        <w:rPr>
          <w:rFonts w:hint="eastAsia" w:ascii="仿宋_GB2312" w:hAnsi="仿宋_GB2312" w:cs="仿宋_GB2312"/>
          <w:szCs w:val="32"/>
        </w:rPr>
        <w:t>　　公用经费562.75万元，主要包括：办公费、印刷费、咨询费、手续费、水费、电费、邮电费、差旅费、维修（护）费、培训费、公务接待费、劳务费、委托业务费、工会经费、福利费、公务用车运行维护费、其他交通费、税金及附加费用、其他商品和服务支出、办公设备购置、专用设备购置、其他资本性支出等。</w:t>
      </w:r>
    </w:p>
    <w:p w14:paraId="4E54EC62">
      <w:pPr>
        <w:spacing w:line="600" w:lineRule="exact"/>
        <w:ind w:firstLine="640"/>
        <w:outlineLvl w:val="1"/>
        <w:rPr>
          <w:rStyle w:val="18"/>
          <w:rFonts w:ascii="黑体" w:hAnsi="黑体" w:eastAsia="黑体"/>
          <w:b w:val="0"/>
        </w:rPr>
      </w:pPr>
      <w:bookmarkStart w:id="37" w:name="_Toc15396609"/>
      <w:bookmarkStart w:id="38" w:name="_Toc15377215"/>
      <w:bookmarkStart w:id="39" w:name="_Toc2084050475"/>
      <w:bookmarkStart w:id="40" w:name="_Toc98"/>
      <w:r>
        <w:rPr>
          <w:rFonts w:hint="eastAsia" w:ascii="黑体" w:eastAsia="黑体"/>
          <w:color w:val="000000"/>
          <w:szCs w:val="32"/>
        </w:rPr>
        <w:t>七、</w:t>
      </w:r>
      <w:r>
        <w:rPr>
          <w:rStyle w:val="18"/>
          <w:rFonts w:hint="eastAsia" w:ascii="黑体" w:hAnsi="黑体" w:eastAsia="黑体"/>
        </w:rPr>
        <w:t>“</w:t>
      </w:r>
      <w:r>
        <w:rPr>
          <w:rStyle w:val="18"/>
          <w:rFonts w:hint="eastAsia" w:ascii="黑体" w:hAnsi="黑体" w:eastAsia="黑体"/>
          <w:b w:val="0"/>
        </w:rPr>
        <w:t>三公”经费财政拨款支出决算情况说明</w:t>
      </w:r>
      <w:bookmarkEnd w:id="37"/>
      <w:bookmarkEnd w:id="38"/>
      <w:bookmarkEnd w:id="39"/>
      <w:bookmarkEnd w:id="40"/>
    </w:p>
    <w:p w14:paraId="2C928B06">
      <w:pPr>
        <w:spacing w:line="600" w:lineRule="exact"/>
        <w:ind w:firstLine="640"/>
        <w:outlineLvl w:val="2"/>
        <w:rPr>
          <w:rFonts w:ascii="仿宋_GB2312" w:hAnsi="仿宋_GB2312" w:cs="仿宋_GB2312"/>
          <w:b/>
          <w:color w:val="000000"/>
          <w:szCs w:val="32"/>
        </w:rPr>
      </w:pPr>
      <w:bookmarkStart w:id="41" w:name="_Toc15377216"/>
      <w:r>
        <w:rPr>
          <w:rFonts w:hint="eastAsia" w:ascii="仿宋_GB2312" w:hAnsi="仿宋_GB2312" w:cs="仿宋_GB2312"/>
          <w:b/>
          <w:color w:val="000000"/>
          <w:szCs w:val="32"/>
        </w:rPr>
        <w:t>（一）“三公”经费财政拨款支出决算总体情况说明</w:t>
      </w:r>
      <w:bookmarkEnd w:id="41"/>
    </w:p>
    <w:p w14:paraId="79F6FE6D">
      <w:pPr>
        <w:spacing w:line="600" w:lineRule="exact"/>
        <w:ind w:firstLine="640"/>
        <w:rPr>
          <w:rFonts w:ascii="仿宋_GB2312" w:hAnsi="仿宋_GB2312" w:cs="仿宋_GB2312"/>
          <w:color w:val="000000"/>
          <w:szCs w:val="32"/>
        </w:rPr>
      </w:pPr>
      <w:r>
        <w:rPr>
          <w:rFonts w:hint="eastAsia" w:ascii="仿宋_GB2312" w:hAnsi="仿宋_GB2312" w:cs="仿宋_GB2312"/>
          <w:szCs w:val="32"/>
        </w:rPr>
        <w:t>2023年“三公”经费财政拨款支出决算为2.52万元，完成预算100%，较上年减少0.8万元，下降24.1%。</w:t>
      </w:r>
    </w:p>
    <w:p w14:paraId="1B13AF2A">
      <w:pPr>
        <w:spacing w:line="600" w:lineRule="exact"/>
        <w:ind w:firstLine="640"/>
        <w:outlineLvl w:val="2"/>
        <w:rPr>
          <w:rFonts w:ascii="仿宋_GB2312" w:hAnsi="仿宋_GB2312" w:cs="仿宋_GB2312"/>
          <w:b/>
          <w:color w:val="000000"/>
          <w:szCs w:val="32"/>
        </w:rPr>
      </w:pPr>
      <w:bookmarkStart w:id="42" w:name="_Toc15377217"/>
      <w:r>
        <w:rPr>
          <w:rFonts w:hint="eastAsia" w:ascii="仿宋_GB2312" w:hAnsi="仿宋_GB2312" w:cs="仿宋_GB2312"/>
          <w:b/>
          <w:color w:val="000000"/>
          <w:szCs w:val="32"/>
        </w:rPr>
        <w:t>（二）“三公”经费财政拨款支出决算具体情况说明</w:t>
      </w:r>
      <w:bookmarkEnd w:id="42"/>
    </w:p>
    <w:p w14:paraId="480026BE">
      <w:pPr>
        <w:spacing w:line="600" w:lineRule="exact"/>
        <w:ind w:firstLine="640"/>
        <w:rPr>
          <w:rFonts w:ascii="仿宋_GB2312" w:hAnsi="仿宋_GB2312" w:cs="仿宋_GB2312"/>
          <w:szCs w:val="32"/>
        </w:rPr>
      </w:pPr>
      <w:r>
        <w:rPr>
          <w:rFonts w:hint="eastAsia" w:ascii="仿宋_GB2312" w:hAnsi="仿宋_GB2312" w:cs="仿宋_GB2312"/>
          <w:szCs w:val="32"/>
        </w:rPr>
        <w:t>2023年“三公”经费财政拨款支出决算中，因公出国（境）费支出决算0万元，占0%；公务用车购置及运行维护费支出决算2.44万元，占96.83%；公务接待费支出决算0.08万元，占3.17%。具体情况如下：</w:t>
      </w:r>
    </w:p>
    <w:p w14:paraId="6B7B14FB">
      <w:pPr>
        <w:spacing w:line="600" w:lineRule="exact"/>
        <w:ind w:firstLine="640"/>
        <w:rPr>
          <w:rFonts w:ascii="仿宋_GB2312" w:hAnsi="仿宋_GB2312" w:cs="仿宋_GB2312"/>
          <w:szCs w:val="32"/>
        </w:rPr>
      </w:pPr>
      <w:r>
        <w:rPr>
          <w:rFonts w:hint="eastAsia" w:ascii="仿宋_GB2312" w:hAnsi="仿宋_GB2312" w:cs="仿宋_GB2312"/>
          <w:szCs w:val="32"/>
        </w:rPr>
        <w:t>（图7：“三公”经费财政拨款支出结构）（饼状图）</w:t>
      </w:r>
    </w:p>
    <w:p w14:paraId="72CF4D38">
      <w:pPr>
        <w:pStyle w:val="2"/>
        <w:spacing w:before="93"/>
      </w:pPr>
      <w:r>
        <w:drawing>
          <wp:inline distT="0" distB="0" distL="0" distR="0">
            <wp:extent cx="5274310" cy="3076575"/>
            <wp:effectExtent l="19050" t="0" r="21590" b="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0C90DD">
      <w:pPr>
        <w:spacing w:line="600" w:lineRule="exact"/>
        <w:ind w:firstLine="640"/>
        <w:rPr>
          <w:rFonts w:ascii="仿宋_GB2312" w:hAnsi="仿宋_GB2312" w:cs="仿宋_GB2312"/>
          <w:b/>
          <w:szCs w:val="32"/>
        </w:rPr>
      </w:pPr>
      <w:r>
        <w:rPr>
          <w:rFonts w:hint="eastAsia" w:ascii="仿宋_GB2312" w:hAnsi="仿宋_GB2312" w:cs="仿宋_GB2312"/>
          <w:b/>
          <w:szCs w:val="32"/>
        </w:rPr>
        <w:t>1.因公出国（境）经费支出</w:t>
      </w:r>
      <w:r>
        <w:rPr>
          <w:rFonts w:hint="eastAsia" w:ascii="仿宋_GB2312" w:hAnsi="仿宋_GB2312" w:cs="仿宋_GB2312"/>
          <w:szCs w:val="32"/>
        </w:rPr>
        <w:t>0万元，</w:t>
      </w:r>
      <w:r>
        <w:rPr>
          <w:rStyle w:val="15"/>
          <w:rFonts w:hint="eastAsia" w:ascii="仿宋_GB2312" w:hAnsi="仿宋_GB2312" w:cs="仿宋_GB2312"/>
          <w:b w:val="0"/>
          <w:bCs/>
          <w:szCs w:val="32"/>
        </w:rPr>
        <w:t>完成预算0%。</w:t>
      </w:r>
      <w:r>
        <w:rPr>
          <w:rFonts w:hint="eastAsia" w:ascii="仿宋_GB2312" w:hAnsi="仿宋_GB2312" w:cs="仿宋_GB2312"/>
          <w:szCs w:val="32"/>
        </w:rPr>
        <w:t>全年安排因公出国（境）团组0次，出国（境）0人。因公出国（境）支出决算比2022年增加0万元，增长0%。主要原因是</w:t>
      </w:r>
      <w:r>
        <w:rPr>
          <w:rFonts w:hint="eastAsia" w:ascii="仿宋_GB2312"/>
          <w:color w:val="000000"/>
          <w:szCs w:val="32"/>
        </w:rPr>
        <w:t>本单位无因公出国（境）经费预算及支出</w:t>
      </w:r>
      <w:r>
        <w:rPr>
          <w:rFonts w:hint="eastAsia" w:ascii="仿宋_GB2312" w:hAnsi="仿宋_GB2312" w:cs="仿宋_GB2312"/>
          <w:szCs w:val="32"/>
        </w:rPr>
        <w:t>。</w:t>
      </w:r>
    </w:p>
    <w:p w14:paraId="5132CE1E">
      <w:pPr>
        <w:spacing w:line="600" w:lineRule="exact"/>
        <w:ind w:firstLine="640"/>
        <w:rPr>
          <w:rFonts w:ascii="仿宋_GB2312" w:hAnsi="仿宋_GB2312" w:cs="仿宋_GB2312"/>
          <w:b/>
          <w:szCs w:val="32"/>
        </w:rPr>
      </w:pPr>
      <w:r>
        <w:rPr>
          <w:rFonts w:hint="eastAsia" w:ascii="仿宋_GB2312" w:hAnsi="仿宋_GB2312" w:cs="仿宋_GB2312"/>
          <w:b/>
          <w:szCs w:val="32"/>
        </w:rPr>
        <w:t>2.公务用车购置及运行维护费支出</w:t>
      </w:r>
      <w:r>
        <w:rPr>
          <w:rFonts w:hint="eastAsia" w:ascii="仿宋_GB2312" w:hAnsi="仿宋_GB2312" w:cs="仿宋_GB2312"/>
          <w:szCs w:val="32"/>
        </w:rPr>
        <w:t>2.44万元,</w:t>
      </w:r>
      <w:r>
        <w:rPr>
          <w:rStyle w:val="15"/>
          <w:rFonts w:hint="eastAsia" w:ascii="仿宋_GB2312" w:hAnsi="仿宋_GB2312" w:cs="仿宋_GB2312"/>
          <w:b w:val="0"/>
          <w:bCs/>
          <w:szCs w:val="32"/>
        </w:rPr>
        <w:t>完成预算100%。</w:t>
      </w:r>
      <w:r>
        <w:rPr>
          <w:rFonts w:hint="eastAsia" w:ascii="仿宋_GB2312" w:hAnsi="仿宋_GB2312" w:cs="仿宋_GB2312"/>
          <w:szCs w:val="32"/>
        </w:rPr>
        <w:t>公务用车购置及运行维护费支出决算比2022年减少0.11万元，下降4.31%，主要原因是</w:t>
      </w:r>
      <w:r>
        <w:rPr>
          <w:rFonts w:hint="eastAsia" w:ascii="仿宋_GB2312"/>
          <w:color w:val="000000"/>
          <w:szCs w:val="32"/>
        </w:rPr>
        <w:t>车辆油费减少</w:t>
      </w:r>
      <w:r>
        <w:rPr>
          <w:rFonts w:hint="eastAsia" w:ascii="仿宋_GB2312" w:hAnsi="仿宋_GB2312" w:cs="仿宋_GB2312"/>
          <w:szCs w:val="32"/>
        </w:rPr>
        <w:t>。</w:t>
      </w:r>
    </w:p>
    <w:p w14:paraId="67319FC1">
      <w:pPr>
        <w:spacing w:line="600" w:lineRule="exact"/>
        <w:ind w:firstLine="640" w:firstLineChars="200"/>
        <w:rPr>
          <w:rFonts w:ascii="仿宋_GB2312" w:hAnsi="仿宋_GB2312" w:cs="仿宋_GB2312"/>
          <w:b/>
          <w:szCs w:val="32"/>
        </w:rPr>
      </w:pPr>
      <w:r>
        <w:rPr>
          <w:rFonts w:hint="eastAsia" w:ascii="仿宋_GB2312" w:hAnsi="仿宋_GB2312" w:cs="仿宋_GB2312"/>
          <w:szCs w:val="32"/>
        </w:rPr>
        <w:t>其中：</w:t>
      </w:r>
      <w:r>
        <w:rPr>
          <w:rFonts w:hint="eastAsia" w:ascii="仿宋_GB2312" w:hAnsi="仿宋_GB2312" w:cs="仿宋_GB2312"/>
          <w:b/>
          <w:szCs w:val="32"/>
        </w:rPr>
        <w:t>公务用车购置支出</w:t>
      </w:r>
      <w:r>
        <w:rPr>
          <w:rFonts w:hint="eastAsia" w:ascii="仿宋_GB2312" w:hAnsi="仿宋_GB2312" w:cs="仿宋_GB2312"/>
          <w:szCs w:val="32"/>
        </w:rPr>
        <w:t>0万元。全年按规定更新购置公务用车0辆，其中：轿车0辆、金额0万元，越野车0辆、金额0万元，载客汽车0辆、金额0万元。截至2023年12月底，单位共有公务用车1辆，其中：轿车1辆、越野车0辆、载客汽车0辆。</w:t>
      </w:r>
    </w:p>
    <w:p w14:paraId="105ED8F6">
      <w:pPr>
        <w:spacing w:line="600" w:lineRule="exact"/>
        <w:ind w:firstLine="640"/>
        <w:rPr>
          <w:rFonts w:ascii="仿宋_GB2312"/>
          <w:color w:val="000000"/>
          <w:szCs w:val="32"/>
        </w:rPr>
      </w:pPr>
      <w:r>
        <w:rPr>
          <w:rFonts w:hint="eastAsia" w:ascii="仿宋_GB2312" w:hAnsi="仿宋_GB2312" w:cs="仿宋_GB2312"/>
          <w:b/>
          <w:szCs w:val="32"/>
        </w:rPr>
        <w:t>公务用车运行维护费支出</w:t>
      </w:r>
      <w:r>
        <w:rPr>
          <w:rFonts w:hint="eastAsia" w:ascii="仿宋_GB2312" w:hAnsi="仿宋_GB2312" w:cs="仿宋_GB2312"/>
          <w:szCs w:val="32"/>
        </w:rPr>
        <w:t>2.44万元。主要用于</w:t>
      </w:r>
      <w:r>
        <w:rPr>
          <w:rFonts w:hint="eastAsia" w:ascii="仿宋_GB2312"/>
          <w:color w:val="000000"/>
          <w:szCs w:val="32"/>
        </w:rPr>
        <w:t>保障重要公务和应急公务活动所需的公务用车燃料费、维修费、过路过桥费、保险费等支出。</w:t>
      </w:r>
    </w:p>
    <w:p w14:paraId="2C61708C">
      <w:pPr>
        <w:spacing w:line="600" w:lineRule="exact"/>
        <w:ind w:firstLine="640"/>
        <w:rPr>
          <w:rFonts w:ascii="仿宋_GB2312" w:hAnsi="仿宋_GB2312" w:cs="仿宋_GB2312"/>
          <w:szCs w:val="32"/>
        </w:rPr>
      </w:pPr>
      <w:r>
        <w:rPr>
          <w:rFonts w:hint="eastAsia" w:ascii="仿宋_GB2312" w:hAnsi="仿宋_GB2312" w:cs="仿宋_GB2312"/>
          <w:b/>
          <w:szCs w:val="32"/>
        </w:rPr>
        <w:t>3.公务接待费支出</w:t>
      </w:r>
      <w:r>
        <w:rPr>
          <w:rFonts w:hint="eastAsia" w:ascii="仿宋_GB2312" w:hAnsi="仿宋_GB2312" w:cs="仿宋_GB2312"/>
          <w:szCs w:val="32"/>
        </w:rPr>
        <w:t>0.08万元，</w:t>
      </w:r>
      <w:r>
        <w:rPr>
          <w:rStyle w:val="15"/>
          <w:rFonts w:hint="eastAsia" w:ascii="仿宋_GB2312" w:hAnsi="仿宋_GB2312" w:cs="仿宋_GB2312"/>
          <w:b w:val="0"/>
          <w:bCs/>
          <w:szCs w:val="32"/>
        </w:rPr>
        <w:t>完成预算100%。</w:t>
      </w:r>
      <w:r>
        <w:rPr>
          <w:rFonts w:hint="eastAsia" w:ascii="仿宋_GB2312" w:hAnsi="仿宋_GB2312" w:cs="仿宋_GB2312"/>
          <w:szCs w:val="32"/>
        </w:rPr>
        <w:t>公务接待费支出决算比2022年减少0.69万元，下降89.61%。主要原因是学院接待频率下降，接待费减少。其中：</w:t>
      </w:r>
    </w:p>
    <w:p w14:paraId="64D9536E">
      <w:pPr>
        <w:spacing w:line="600" w:lineRule="exact"/>
        <w:ind w:firstLine="640"/>
        <w:rPr>
          <w:rFonts w:ascii="仿宋_GB2312" w:hAnsi="仿宋_GB2312" w:cs="仿宋_GB2312"/>
          <w:szCs w:val="32"/>
        </w:rPr>
      </w:pPr>
      <w:r>
        <w:rPr>
          <w:rFonts w:hint="eastAsia" w:ascii="仿宋_GB2312" w:hAnsi="仿宋_GB2312" w:cs="仿宋_GB2312"/>
          <w:b/>
          <w:szCs w:val="32"/>
        </w:rPr>
        <w:t>国内公务接待支出</w:t>
      </w:r>
      <w:r>
        <w:rPr>
          <w:rFonts w:hint="eastAsia" w:ascii="仿宋_GB2312" w:hAnsi="仿宋_GB2312" w:cs="仿宋_GB2312"/>
          <w:szCs w:val="32"/>
        </w:rPr>
        <w:t>0.08万元，用于荣县职业技术教育中心到校考察交流用餐费。国内公务接待1批次，6人次（不包括陪同人员），共计支出0.08万元，具体内容包括：荣县职业技术教育中心到校考察交流。</w:t>
      </w:r>
    </w:p>
    <w:p w14:paraId="59CF39C4">
      <w:pPr>
        <w:spacing w:line="600" w:lineRule="exact"/>
        <w:ind w:firstLine="643" w:firstLineChars="200"/>
        <w:rPr>
          <w:rFonts w:ascii="仿宋_GB2312" w:hAnsi="仿宋_GB2312" w:cs="仿宋_GB2312"/>
          <w:color w:val="000000"/>
          <w:szCs w:val="32"/>
        </w:rPr>
      </w:pPr>
      <w:r>
        <w:rPr>
          <w:rFonts w:hint="eastAsia" w:ascii="仿宋_GB2312" w:hAnsi="仿宋_GB2312" w:cs="仿宋_GB2312"/>
          <w:b/>
          <w:szCs w:val="32"/>
        </w:rPr>
        <w:t>外事接待支出</w:t>
      </w:r>
      <w:r>
        <w:rPr>
          <w:rFonts w:hint="eastAsia" w:ascii="仿宋_GB2312" w:hAnsi="仿宋_GB2312" w:cs="仿宋_GB2312"/>
          <w:szCs w:val="32"/>
        </w:rPr>
        <w:t>0万元。外事接待0批次，0人次（不包括陪同人员），共计支出0万元。</w:t>
      </w:r>
      <w:bookmarkStart w:id="43" w:name="_Toc15396610"/>
      <w:bookmarkStart w:id="44" w:name="_Toc15377218"/>
    </w:p>
    <w:p w14:paraId="1711846F">
      <w:pPr>
        <w:spacing w:line="600" w:lineRule="exact"/>
        <w:ind w:firstLine="640"/>
        <w:outlineLvl w:val="1"/>
        <w:rPr>
          <w:rStyle w:val="18"/>
          <w:rFonts w:ascii="黑体" w:hAnsi="黑体" w:eastAsia="黑体"/>
        </w:rPr>
      </w:pPr>
      <w:bookmarkStart w:id="45" w:name="_Toc1591094750"/>
      <w:bookmarkStart w:id="46" w:name="_Toc27509"/>
      <w:r>
        <w:rPr>
          <w:rFonts w:hint="eastAsia" w:ascii="黑体" w:eastAsia="黑体"/>
          <w:color w:val="000000"/>
          <w:szCs w:val="32"/>
        </w:rPr>
        <w:t>八、</w:t>
      </w:r>
      <w:r>
        <w:rPr>
          <w:rStyle w:val="18"/>
          <w:rFonts w:hint="eastAsia" w:ascii="黑体" w:hAnsi="黑体" w:eastAsia="黑体"/>
          <w:b w:val="0"/>
        </w:rPr>
        <w:t>政府性基金预算支出决算情况说明</w:t>
      </w:r>
      <w:bookmarkEnd w:id="43"/>
      <w:bookmarkEnd w:id="44"/>
      <w:bookmarkEnd w:id="45"/>
      <w:bookmarkEnd w:id="46"/>
    </w:p>
    <w:p w14:paraId="43660188">
      <w:pPr>
        <w:spacing w:line="600" w:lineRule="exact"/>
        <w:ind w:firstLine="640"/>
        <w:rPr>
          <w:rFonts w:hint="eastAsia" w:ascii="仿宋_GB2312" w:hAnsi="仿宋_GB2312" w:cs="仿宋_GB2312"/>
          <w:szCs w:val="32"/>
        </w:rPr>
      </w:pPr>
      <w:r>
        <w:rPr>
          <w:rFonts w:hint="eastAsia" w:ascii="仿宋_GB2312" w:hAnsi="仿宋_GB2312" w:cs="仿宋_GB2312"/>
          <w:szCs w:val="32"/>
        </w:rPr>
        <w:t>2023年政府性基金预算财政拨款支出2273.83万元。</w:t>
      </w:r>
    </w:p>
    <w:p w14:paraId="0B76C598">
      <w:pPr>
        <w:pStyle w:val="2"/>
        <w:spacing w:before="93"/>
      </w:pPr>
    </w:p>
    <w:p w14:paraId="326605D0">
      <w:pPr>
        <w:numPr>
          <w:ilvl w:val="0"/>
          <w:numId w:val="2"/>
        </w:numPr>
        <w:spacing w:line="600" w:lineRule="exact"/>
        <w:ind w:firstLine="640"/>
        <w:outlineLvl w:val="1"/>
        <w:rPr>
          <w:rStyle w:val="18"/>
          <w:rFonts w:ascii="黑体" w:hAnsi="黑体" w:eastAsia="黑体"/>
          <w:b w:val="0"/>
        </w:rPr>
      </w:pPr>
      <w:bookmarkStart w:id="47" w:name="_Toc15377219"/>
      <w:bookmarkStart w:id="48" w:name="_Toc15396611"/>
      <w:bookmarkStart w:id="49" w:name="_Toc937569418"/>
      <w:bookmarkStart w:id="50" w:name="_Toc269"/>
      <w:r>
        <w:rPr>
          <w:rStyle w:val="18"/>
          <w:rFonts w:hint="eastAsia" w:ascii="黑体" w:hAnsi="黑体" w:eastAsia="黑体"/>
          <w:b w:val="0"/>
        </w:rPr>
        <w:t>国有资本经营预算支出决算情况说明</w:t>
      </w:r>
      <w:bookmarkEnd w:id="47"/>
      <w:bookmarkEnd w:id="48"/>
      <w:bookmarkEnd w:id="49"/>
      <w:bookmarkEnd w:id="50"/>
    </w:p>
    <w:p w14:paraId="24D831F5">
      <w:pPr>
        <w:spacing w:line="600" w:lineRule="exact"/>
        <w:ind w:firstLine="640"/>
        <w:rPr>
          <w:rFonts w:ascii="仿宋_GB2312" w:hAnsi="仿宋_GB2312" w:cs="仿宋_GB2312"/>
          <w:szCs w:val="32"/>
        </w:rPr>
      </w:pPr>
      <w:r>
        <w:rPr>
          <w:rFonts w:hint="eastAsia" w:ascii="仿宋_GB2312" w:hAnsi="仿宋_GB2312" w:cs="仿宋_GB2312"/>
          <w:szCs w:val="32"/>
        </w:rPr>
        <w:t>2023年国有资本经营预算财政拨款支出0万元。</w:t>
      </w:r>
    </w:p>
    <w:p w14:paraId="6E9F2AC1">
      <w:pPr>
        <w:spacing w:line="600" w:lineRule="exact"/>
        <w:ind w:firstLine="640" w:firstLineChars="200"/>
        <w:outlineLvl w:val="1"/>
        <w:rPr>
          <w:rStyle w:val="18"/>
          <w:rFonts w:ascii="黑体" w:hAnsi="黑体" w:eastAsia="黑体"/>
        </w:rPr>
      </w:pPr>
      <w:bookmarkStart w:id="51" w:name="_Toc15377221"/>
      <w:bookmarkStart w:id="52" w:name="_Toc479257254"/>
      <w:bookmarkStart w:id="53" w:name="_Toc15396612"/>
      <w:bookmarkStart w:id="54" w:name="_Toc15678"/>
      <w:r>
        <w:rPr>
          <w:rFonts w:hint="eastAsia" w:ascii="黑体" w:hAnsi="黑体" w:eastAsia="黑体"/>
          <w:color w:val="000000"/>
          <w:szCs w:val="32"/>
        </w:rPr>
        <w:t>十</w:t>
      </w:r>
      <w:r>
        <w:rPr>
          <w:rStyle w:val="18"/>
          <w:rFonts w:hint="eastAsia" w:ascii="黑体" w:hAnsi="黑体" w:eastAsia="黑体"/>
        </w:rPr>
        <w:t>、</w:t>
      </w:r>
      <w:r>
        <w:rPr>
          <w:rStyle w:val="18"/>
          <w:rFonts w:hint="eastAsia" w:ascii="黑体" w:hAnsi="黑体" w:eastAsia="黑体"/>
          <w:b w:val="0"/>
        </w:rPr>
        <w:t>其他重要事项的情况说明</w:t>
      </w:r>
      <w:bookmarkEnd w:id="51"/>
      <w:bookmarkEnd w:id="52"/>
      <w:bookmarkEnd w:id="53"/>
      <w:bookmarkEnd w:id="54"/>
    </w:p>
    <w:p w14:paraId="7EB828AD">
      <w:pPr>
        <w:spacing w:line="600" w:lineRule="exact"/>
        <w:ind w:firstLine="643" w:firstLineChars="200"/>
        <w:outlineLvl w:val="2"/>
        <w:rPr>
          <w:rFonts w:ascii="仿宋_GB2312" w:hAnsi="仿宋_GB2312" w:cs="仿宋_GB2312"/>
          <w:color w:val="000000"/>
          <w:szCs w:val="32"/>
        </w:rPr>
      </w:pPr>
      <w:bookmarkStart w:id="55" w:name="_Toc15377222"/>
      <w:r>
        <w:rPr>
          <w:rFonts w:hint="eastAsia" w:ascii="仿宋_GB2312" w:hAnsi="仿宋_GB2312" w:cs="仿宋_GB2312"/>
          <w:b/>
          <w:color w:val="000000"/>
          <w:szCs w:val="32"/>
        </w:rPr>
        <w:t>（一）机关运行经费支出情况</w:t>
      </w:r>
      <w:bookmarkEnd w:id="55"/>
    </w:p>
    <w:p w14:paraId="1F565F09">
      <w:pPr>
        <w:spacing w:line="600" w:lineRule="exact"/>
        <w:ind w:firstLine="640" w:firstLineChars="200"/>
        <w:rPr>
          <w:rFonts w:ascii="仿宋_GB2312" w:hAnsi="仿宋_GB2312" w:cs="仿宋_GB2312"/>
          <w:color w:val="000000"/>
          <w:szCs w:val="32"/>
        </w:rPr>
      </w:pPr>
      <w:r>
        <w:rPr>
          <w:rFonts w:hint="eastAsia" w:ascii="仿宋_GB2312" w:hAnsi="仿宋_GB2312" w:cs="仿宋_GB2312"/>
          <w:szCs w:val="32"/>
        </w:rPr>
        <w:t>2023年，自贡市职业培训学院机关运行经费支出0万元。</w:t>
      </w:r>
    </w:p>
    <w:p w14:paraId="5FE58A3F">
      <w:pPr>
        <w:autoSpaceDE w:val="0"/>
        <w:autoSpaceDN w:val="0"/>
        <w:adjustRightInd w:val="0"/>
        <w:spacing w:line="600" w:lineRule="exact"/>
        <w:ind w:firstLine="643" w:firstLineChars="200"/>
        <w:jc w:val="left"/>
        <w:outlineLvl w:val="2"/>
        <w:rPr>
          <w:rFonts w:ascii="仿宋_GB2312" w:hAnsi="仿宋_GB2312" w:cs="仿宋_GB2312"/>
          <w:b/>
          <w:color w:val="000000"/>
          <w:szCs w:val="32"/>
        </w:rPr>
      </w:pPr>
      <w:bookmarkStart w:id="56" w:name="_Toc15377223"/>
      <w:r>
        <w:rPr>
          <w:rFonts w:hint="eastAsia" w:ascii="仿宋_GB2312" w:hAnsi="仿宋_GB2312" w:cs="仿宋_GB2312"/>
          <w:b/>
          <w:color w:val="000000"/>
          <w:szCs w:val="32"/>
        </w:rPr>
        <w:t>（二）政府采购支出情况</w:t>
      </w:r>
      <w:bookmarkEnd w:id="56"/>
    </w:p>
    <w:p w14:paraId="092AD7E0">
      <w:pPr>
        <w:spacing w:line="600" w:lineRule="exact"/>
        <w:ind w:firstLine="640" w:firstLineChars="200"/>
        <w:rPr>
          <w:rFonts w:ascii="仿宋_GB2312" w:hAnsi="仿宋_GB2312" w:cs="仿宋_GB2312"/>
          <w:szCs w:val="32"/>
        </w:rPr>
      </w:pPr>
      <w:r>
        <w:rPr>
          <w:rFonts w:hint="eastAsia" w:ascii="仿宋_GB2312" w:hAnsi="仿宋_GB2312" w:cs="仿宋_GB2312"/>
          <w:szCs w:val="32"/>
        </w:rPr>
        <w:t>2023年，自贡市职业培训学院政府采购支出总额43.92万元，其中：政府采购货物支出43.92万元、政府采购工程支出0万元、政府采购服务支出0万元。主要用于教学设备购置。授予中小企业合同金额42.24万元，占政府采购支出总额的96.17%，其中：授予小微企业合同金额42.24万元，占政府采购支出总额的96.17%。</w:t>
      </w:r>
    </w:p>
    <w:p w14:paraId="6CEE6F83">
      <w:pPr>
        <w:autoSpaceDE w:val="0"/>
        <w:autoSpaceDN w:val="0"/>
        <w:adjustRightInd w:val="0"/>
        <w:spacing w:line="600" w:lineRule="exact"/>
        <w:ind w:firstLine="643" w:firstLineChars="200"/>
        <w:jc w:val="left"/>
        <w:outlineLvl w:val="2"/>
        <w:rPr>
          <w:rFonts w:ascii="仿宋_GB2312" w:hAnsi="仿宋_GB2312" w:cs="仿宋_GB2312"/>
          <w:b/>
          <w:color w:val="000000"/>
          <w:szCs w:val="32"/>
        </w:rPr>
      </w:pPr>
      <w:bookmarkStart w:id="57" w:name="_Toc15377224"/>
      <w:r>
        <w:rPr>
          <w:rFonts w:hint="eastAsia" w:ascii="仿宋_GB2312" w:hAnsi="仿宋_GB2312" w:cs="仿宋_GB2312"/>
          <w:b/>
          <w:color w:val="000000"/>
          <w:szCs w:val="32"/>
        </w:rPr>
        <w:t>（三）国有资产占有使用情况</w:t>
      </w:r>
      <w:bookmarkEnd w:id="57"/>
    </w:p>
    <w:p w14:paraId="2485E6DF">
      <w:pPr>
        <w:autoSpaceDE w:val="0"/>
        <w:autoSpaceDN w:val="0"/>
        <w:adjustRightInd w:val="0"/>
        <w:spacing w:line="600" w:lineRule="exact"/>
        <w:ind w:firstLine="640" w:firstLineChars="200"/>
        <w:jc w:val="left"/>
        <w:rPr>
          <w:rFonts w:ascii="仿宋_GB2312" w:hAnsi="仿宋_GB2312" w:cs="仿宋_GB2312"/>
          <w:szCs w:val="32"/>
        </w:rPr>
      </w:pPr>
      <w:r>
        <w:rPr>
          <w:rFonts w:hint="eastAsia" w:ascii="仿宋_GB2312" w:hAnsi="仿宋_GB2312" w:cs="仿宋_GB2312"/>
          <w:szCs w:val="32"/>
        </w:rPr>
        <w:t>截至2023年12月31日，自贡市职业培训学院共有车辆9辆，其中：主要领导干部用车0辆、机要通信用车0辆、应急保障用车0辆、其他用车9辆，其他用车主要是用于驾驶短训。单价100万元以上专用设备0台（套）。</w:t>
      </w:r>
    </w:p>
    <w:p w14:paraId="6F76AA68">
      <w:pPr>
        <w:autoSpaceDE w:val="0"/>
        <w:autoSpaceDN w:val="0"/>
        <w:adjustRightInd w:val="0"/>
        <w:spacing w:line="600" w:lineRule="exact"/>
        <w:ind w:firstLine="643" w:firstLineChars="200"/>
        <w:jc w:val="left"/>
        <w:outlineLvl w:val="2"/>
        <w:rPr>
          <w:rFonts w:ascii="仿宋_GB2312" w:hAnsi="仿宋_GB2312" w:cs="仿宋_GB2312"/>
          <w:b/>
          <w:color w:val="000000"/>
          <w:szCs w:val="32"/>
        </w:rPr>
      </w:pPr>
      <w:r>
        <w:rPr>
          <w:rFonts w:hint="eastAsia" w:ascii="仿宋_GB2312" w:hAnsi="仿宋_GB2312" w:cs="仿宋_GB2312"/>
          <w:b/>
          <w:color w:val="000000"/>
          <w:szCs w:val="32"/>
        </w:rPr>
        <w:t>（四）预算绩效管理情况。</w:t>
      </w:r>
    </w:p>
    <w:p w14:paraId="3CDE8152">
      <w:pPr>
        <w:pStyle w:val="2"/>
        <w:spacing w:before="93"/>
        <w:ind w:firstLine="640" w:firstLineChars="200"/>
        <w:rPr>
          <w:highlight w:val="yellow"/>
        </w:rPr>
      </w:pPr>
      <w:r>
        <w:rPr>
          <w:rFonts w:hint="eastAsia" w:hAnsi="仿宋_GB2312" w:cs="仿宋_GB2312"/>
          <w:sz w:val="32"/>
          <w:szCs w:val="32"/>
        </w:rPr>
        <w:t>根据预算绩效管理要求，本单位在2023年度预算编制阶段，组织对三名工程建设项目等5个项目开展了预算事前绩效评估，对5个项目编制了绩效目标，预算执行过程中，选取5个项目开展绩效监控，组织对5个项目开展绩效自评，绩效自评表详见第四部分附件。</w:t>
      </w:r>
    </w:p>
    <w:p w14:paraId="6B3457BA">
      <w:pPr>
        <w:spacing w:line="580" w:lineRule="exact"/>
        <w:ind w:firstLine="640" w:firstLineChars="200"/>
        <w:rPr>
          <w:rFonts w:ascii="仿宋_GB2312" w:hAnsi="仿宋_GB2312" w:cs="仿宋_GB2312"/>
          <w:szCs w:val="32"/>
        </w:rPr>
      </w:pPr>
    </w:p>
    <w:p w14:paraId="12CB7FF7">
      <w:pPr>
        <w:spacing w:line="580" w:lineRule="exact"/>
        <w:ind w:firstLine="640" w:firstLineChars="200"/>
        <w:rPr>
          <w:rFonts w:ascii="仿宋_GB2312" w:hAnsi="仿宋_GB2312" w:cs="仿宋_GB2312"/>
          <w:szCs w:val="32"/>
        </w:rPr>
      </w:pPr>
    </w:p>
    <w:p w14:paraId="265D6701">
      <w:pPr>
        <w:spacing w:line="580" w:lineRule="exact"/>
        <w:ind w:firstLine="640" w:firstLineChars="200"/>
        <w:rPr>
          <w:rFonts w:ascii="仿宋_GB2312" w:hAnsi="仿宋_GB2312" w:cs="仿宋_GB2312"/>
          <w:szCs w:val="32"/>
        </w:rPr>
      </w:pPr>
    </w:p>
    <w:p w14:paraId="7A255FE6">
      <w:pPr>
        <w:rPr>
          <w:rFonts w:ascii="仿宋_GB2312" w:hAnsi="仿宋_GB2312" w:cs="仿宋_GB2312"/>
          <w:szCs w:val="32"/>
        </w:rPr>
      </w:pPr>
    </w:p>
    <w:p w14:paraId="0B9077FA">
      <w:pPr>
        <w:pStyle w:val="2"/>
        <w:spacing w:before="93"/>
      </w:pPr>
    </w:p>
    <w:p w14:paraId="4DB67027">
      <w:pPr>
        <w:rPr>
          <w:rStyle w:val="17"/>
          <w:rFonts w:ascii="黑体" w:hAnsi="黑体" w:eastAsia="黑体"/>
          <w:b w:val="0"/>
        </w:rPr>
      </w:pPr>
      <w:bookmarkStart w:id="58" w:name="_Toc15396613"/>
      <w:bookmarkStart w:id="59" w:name="_Toc15377225"/>
      <w:r>
        <w:rPr>
          <w:rFonts w:hint="eastAsia" w:ascii="黑体" w:hAnsi="黑体" w:eastAsia="黑体"/>
          <w:color w:val="000000"/>
          <w:sz w:val="44"/>
          <w:szCs w:val="44"/>
        </w:rPr>
        <w:br w:type="page"/>
      </w:r>
    </w:p>
    <w:p w14:paraId="2FE9A13F">
      <w:pPr>
        <w:numPr>
          <w:ilvl w:val="0"/>
          <w:numId w:val="3"/>
        </w:numPr>
        <w:spacing w:line="600" w:lineRule="exact"/>
        <w:ind w:firstLine="660" w:firstLineChars="150"/>
        <w:jc w:val="center"/>
        <w:outlineLvl w:val="0"/>
        <w:rPr>
          <w:rFonts w:ascii="黑体" w:hAnsi="黑体" w:eastAsia="黑体"/>
          <w:bCs/>
          <w:kern w:val="44"/>
          <w:sz w:val="44"/>
          <w:szCs w:val="44"/>
        </w:rPr>
      </w:pPr>
      <w:bookmarkStart w:id="60" w:name="_Toc19818"/>
      <w:r>
        <w:rPr>
          <w:rFonts w:hint="eastAsia" w:ascii="黑体" w:hAnsi="黑体" w:eastAsia="黑体"/>
          <w:color w:val="000000"/>
          <w:sz w:val="44"/>
          <w:szCs w:val="44"/>
        </w:rPr>
        <w:t>名</w:t>
      </w:r>
      <w:r>
        <w:rPr>
          <w:rStyle w:val="17"/>
          <w:rFonts w:hint="eastAsia" w:ascii="黑体" w:hAnsi="黑体" w:eastAsia="黑体"/>
          <w:b w:val="0"/>
        </w:rPr>
        <w:t>词解释</w:t>
      </w:r>
      <w:bookmarkEnd w:id="58"/>
      <w:bookmarkEnd w:id="59"/>
      <w:bookmarkEnd w:id="60"/>
    </w:p>
    <w:p w14:paraId="5FE16A6C">
      <w:pPr>
        <w:pStyle w:val="20"/>
        <w:spacing w:line="560" w:lineRule="exact"/>
        <w:ind w:firstLine="640" w:firstLineChars="200"/>
        <w:rPr>
          <w:rFonts w:ascii="仿宋_GB2312" w:eastAsia="仿宋_GB2312"/>
          <w:color w:val="auto"/>
          <w:sz w:val="32"/>
          <w:szCs w:val="32"/>
        </w:rPr>
      </w:pPr>
      <w:bookmarkStart w:id="61"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75596706">
      <w:pPr>
        <w:pStyle w:val="2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52F98F5B">
      <w:pPr>
        <w:pStyle w:val="2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7F27461F">
      <w:pPr>
        <w:pStyle w:val="2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14:paraId="0C87F854">
      <w:pPr>
        <w:pStyle w:val="2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14:paraId="13F15A64">
      <w:pPr>
        <w:pStyle w:val="2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78B763CB">
      <w:pPr>
        <w:pStyle w:val="2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27BCE192">
      <w:pPr>
        <w:pStyle w:val="2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1BE999FC">
      <w:pPr>
        <w:ind w:firstLine="640" w:firstLineChars="200"/>
        <w:rPr>
          <w:rFonts w:ascii="仿宋_GB2312" w:cs="仿宋_GB2312"/>
          <w:color w:val="000000"/>
          <w:szCs w:val="32"/>
        </w:rPr>
      </w:pPr>
      <w:r>
        <w:rPr>
          <w:rFonts w:hint="eastAsia" w:ascii="仿宋_GB2312"/>
          <w:szCs w:val="32"/>
        </w:rPr>
        <w:t>9</w:t>
      </w:r>
      <w:r>
        <w:rPr>
          <w:rFonts w:ascii="仿宋_GB2312"/>
          <w:szCs w:val="32"/>
        </w:rPr>
        <w:t>.</w:t>
      </w:r>
      <w:r>
        <w:rPr>
          <w:rFonts w:hint="eastAsia" w:ascii="仿宋_GB2312"/>
          <w:szCs w:val="32"/>
        </w:rPr>
        <w:t>教育（类）职业教育（款）技校教育（项）：指</w:t>
      </w:r>
      <w:r>
        <w:rPr>
          <w:rFonts w:hint="eastAsia" w:ascii="仿宋_GB2312" w:cs="仿宋_GB2312"/>
          <w:color w:val="000000"/>
          <w:szCs w:val="32"/>
        </w:rPr>
        <w:t>人力资源社会保障部门举办的技校教育支出。政府各部门对社会组织等举办的技工学校的资助，如捐赠、补贴等。</w:t>
      </w:r>
    </w:p>
    <w:p w14:paraId="4186B66C">
      <w:pPr>
        <w:ind w:firstLine="640" w:firstLineChars="200"/>
        <w:rPr>
          <w:rFonts w:ascii="仿宋_GB2312" w:cs="仿宋_GB2312"/>
          <w:color w:val="000000"/>
          <w:szCs w:val="32"/>
        </w:rPr>
      </w:pPr>
      <w:r>
        <w:rPr>
          <w:rFonts w:hint="eastAsia" w:ascii="仿宋_GB2312" w:cs="仿宋_GB2312"/>
          <w:color w:val="000000"/>
          <w:szCs w:val="32"/>
        </w:rPr>
        <w:t>10.社会保障和就业支出（类）行政事业单位养老支出（款）事业单位离退休（项）：指事业单位开支的离退休经费。</w:t>
      </w:r>
    </w:p>
    <w:p w14:paraId="08CE55FC">
      <w:pPr>
        <w:ind w:firstLine="640" w:firstLineChars="200"/>
        <w:rPr>
          <w:rFonts w:ascii="仿宋_GB2312"/>
          <w:color w:val="000000"/>
          <w:szCs w:val="32"/>
        </w:rPr>
      </w:pPr>
      <w:r>
        <w:rPr>
          <w:rFonts w:hint="eastAsia" w:ascii="仿宋_GB2312"/>
          <w:color w:val="000000"/>
          <w:szCs w:val="32"/>
        </w:rPr>
        <w:t>11.社会保障和就业支出（类）行政事业单位养老支出（款）机关事业单位基本养老保险缴费支出（项）：指机关事业单位实施养老保险制度由单位缴纳的基本养老保险费支出。</w:t>
      </w:r>
      <w:r>
        <w:rPr>
          <w:rFonts w:hint="eastAsia" w:ascii="仿宋_GB2312"/>
          <w:color w:val="000000"/>
          <w:szCs w:val="32"/>
        </w:rPr>
        <w:br w:type="textWrapping"/>
      </w:r>
      <w:r>
        <w:rPr>
          <w:rFonts w:hint="eastAsia" w:ascii="仿宋_GB2312"/>
          <w:color w:val="000000"/>
          <w:szCs w:val="32"/>
        </w:rPr>
        <w:t xml:space="preserve">    12.社会保障和就业支出（类）行政事业单位养老支出（款）机关事业单位职业年金缴费支出（项）：指机关事业单位实施养老保险制度由单位实际缴纳的职业年金支出。</w:t>
      </w:r>
    </w:p>
    <w:p w14:paraId="38973231">
      <w:pPr>
        <w:spacing w:line="600" w:lineRule="exact"/>
        <w:ind w:firstLine="640"/>
        <w:rPr>
          <w:rFonts w:ascii="仿宋_GB2312" w:hAnsi="仿宋_GB2312" w:cs="仿宋_GB2312"/>
          <w:b/>
          <w:color w:val="FF0000"/>
          <w:szCs w:val="32"/>
        </w:rPr>
      </w:pPr>
      <w:r>
        <w:rPr>
          <w:rFonts w:ascii="仿宋_GB2312"/>
          <w:szCs w:val="32"/>
        </w:rPr>
        <w:t>1</w:t>
      </w:r>
      <w:r>
        <w:rPr>
          <w:rFonts w:hint="eastAsia" w:ascii="仿宋_GB2312"/>
          <w:szCs w:val="32"/>
        </w:rPr>
        <w:t>3</w:t>
      </w:r>
      <w:r>
        <w:rPr>
          <w:rFonts w:hint="eastAsia" w:ascii="仿宋_GB2312"/>
          <w:color w:val="000000"/>
          <w:szCs w:val="32"/>
        </w:rPr>
        <w:t>.保障和就业支出（类）抚恤（款）死亡抚恤（项）：指按规定用于烈士和牺牲、病故人员家属的一次性和定期抚恤金以及丧葬补助费。</w:t>
      </w:r>
    </w:p>
    <w:p w14:paraId="6153793A">
      <w:pPr>
        <w:ind w:firstLine="640" w:firstLineChars="200"/>
        <w:rPr>
          <w:rFonts w:ascii="仿宋_GB2312"/>
          <w:szCs w:val="32"/>
        </w:rPr>
      </w:pPr>
      <w:r>
        <w:rPr>
          <w:rFonts w:hint="eastAsia" w:ascii="仿宋_GB2312"/>
          <w:szCs w:val="32"/>
        </w:rPr>
        <w:t>14</w:t>
      </w:r>
      <w:r>
        <w:rPr>
          <w:rFonts w:hint="eastAsia" w:ascii="仿宋_GB2312"/>
          <w:color w:val="000000"/>
          <w:szCs w:val="32"/>
        </w:rPr>
        <w:t>.</w:t>
      </w:r>
      <w:r>
        <w:rPr>
          <w:rFonts w:hint="eastAsia" w:ascii="仿宋_GB2312"/>
          <w:szCs w:val="32"/>
        </w:rPr>
        <w:t>基本支出：指为保障机构正常运转、完成日常工作任务而发生的人员支出和公用支出。</w:t>
      </w:r>
    </w:p>
    <w:p w14:paraId="26D0E14B">
      <w:pPr>
        <w:ind w:firstLine="640" w:firstLineChars="200"/>
        <w:rPr>
          <w:rFonts w:ascii="仿宋_GB2312"/>
          <w:szCs w:val="32"/>
        </w:rPr>
      </w:pPr>
      <w:r>
        <w:rPr>
          <w:rFonts w:hint="eastAsia" w:ascii="仿宋_GB2312"/>
          <w:szCs w:val="32"/>
        </w:rPr>
        <w:t>15</w:t>
      </w:r>
      <w:r>
        <w:rPr>
          <w:rFonts w:hint="eastAsia" w:ascii="仿宋_GB2312"/>
          <w:color w:val="000000"/>
          <w:szCs w:val="32"/>
        </w:rPr>
        <w:t>.</w:t>
      </w:r>
      <w:r>
        <w:rPr>
          <w:rFonts w:hint="eastAsia" w:ascii="仿宋_GB2312"/>
          <w:szCs w:val="32"/>
        </w:rPr>
        <w:t>项目支出：指在基本支出之外为完成特定行政任务和事业发展目标所发生的支出。</w:t>
      </w:r>
      <w:r>
        <w:rPr>
          <w:rFonts w:ascii="仿宋_GB2312"/>
          <w:szCs w:val="32"/>
        </w:rPr>
        <w:t xml:space="preserve"> </w:t>
      </w:r>
    </w:p>
    <w:p w14:paraId="5FA83C58">
      <w:pPr>
        <w:ind w:firstLine="640" w:firstLineChars="200"/>
        <w:rPr>
          <w:rFonts w:ascii="仿宋_GB2312"/>
          <w:szCs w:val="32"/>
        </w:rPr>
      </w:pPr>
      <w:r>
        <w:rPr>
          <w:rFonts w:hint="eastAsia" w:ascii="仿宋_GB2312"/>
          <w:szCs w:val="32"/>
        </w:rPr>
        <w:t>16</w:t>
      </w:r>
      <w:r>
        <w:rPr>
          <w:rFonts w:hint="eastAsia" w:ascii="仿宋_GB2312"/>
          <w:color w:val="000000"/>
          <w:szCs w:val="32"/>
        </w:rPr>
        <w:t>.</w:t>
      </w:r>
      <w:r>
        <w:rPr>
          <w:rFonts w:hint="eastAsia" w:ascii="仿宋_GB2312"/>
          <w:szCs w:val="32"/>
        </w:rPr>
        <w:t>经营支出：指事业单位在专业业务活动及其辅助活动之外开展非独立核算经营活动发生的支出。</w:t>
      </w:r>
    </w:p>
    <w:p w14:paraId="6BE7E26E">
      <w:pPr>
        <w:pStyle w:val="20"/>
        <w:spacing w:line="560" w:lineRule="exact"/>
        <w:ind w:firstLine="640" w:firstLineChars="200"/>
        <w:rPr>
          <w:rFonts w:ascii="仿宋_GB2312" w:eastAsia="仿宋_GB2312" w:cs="黑体"/>
          <w:color w:val="auto"/>
          <w:sz w:val="32"/>
          <w:szCs w:val="32"/>
        </w:rPr>
      </w:pPr>
      <w:r>
        <w:rPr>
          <w:rFonts w:hint="eastAsia" w:ascii="仿宋_GB2312" w:eastAsia="仿宋_GB2312"/>
          <w:color w:val="auto"/>
          <w:sz w:val="32"/>
          <w:szCs w:val="32"/>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3B432BC">
      <w:pPr>
        <w:spacing w:line="600" w:lineRule="exact"/>
        <w:jc w:val="center"/>
        <w:outlineLvl w:val="0"/>
        <w:rPr>
          <w:rStyle w:val="17"/>
          <w:rFonts w:ascii="黑体" w:hAnsi="黑体" w:eastAsia="黑体"/>
          <w:b w:val="0"/>
        </w:rPr>
      </w:pPr>
      <w:r>
        <w:rPr>
          <w:rFonts w:ascii="宋体"/>
          <w:b/>
          <w:color w:val="000000"/>
          <w:sz w:val="44"/>
          <w:szCs w:val="44"/>
        </w:rPr>
        <w:br w:type="page"/>
      </w:r>
      <w:bookmarkStart w:id="62" w:name="_Toc15396614"/>
      <w:bookmarkStart w:id="63" w:name="_Toc23450"/>
      <w:r>
        <w:rPr>
          <w:rFonts w:hint="eastAsia" w:ascii="黑体" w:hAnsi="黑体" w:eastAsia="黑体"/>
          <w:color w:val="000000"/>
          <w:sz w:val="44"/>
          <w:szCs w:val="44"/>
        </w:rPr>
        <w:t>第</w:t>
      </w:r>
      <w:r>
        <w:rPr>
          <w:rStyle w:val="17"/>
          <w:rFonts w:hint="eastAsia" w:ascii="黑体" w:hAnsi="黑体" w:eastAsia="黑体"/>
          <w:b w:val="0"/>
        </w:rPr>
        <w:t>四部分</w:t>
      </w:r>
      <w:r>
        <w:rPr>
          <w:rStyle w:val="17"/>
          <w:rFonts w:ascii="黑体" w:hAnsi="黑体" w:eastAsia="黑体"/>
          <w:b w:val="0"/>
        </w:rPr>
        <w:t xml:space="preserve"> </w:t>
      </w:r>
      <w:r>
        <w:rPr>
          <w:rStyle w:val="17"/>
          <w:rFonts w:hint="eastAsia" w:ascii="黑体" w:hAnsi="黑体" w:eastAsia="黑体"/>
          <w:b w:val="0"/>
        </w:rPr>
        <w:t>附件</w:t>
      </w:r>
      <w:bookmarkEnd w:id="62"/>
      <w:bookmarkEnd w:id="63"/>
    </w:p>
    <w:tbl>
      <w:tblPr>
        <w:tblStyle w:val="13"/>
        <w:tblW w:w="6072" w:type="pct"/>
        <w:tblInd w:w="-885" w:type="dxa"/>
        <w:tblLayout w:type="autofit"/>
        <w:tblCellMar>
          <w:top w:w="0" w:type="dxa"/>
          <w:left w:w="108" w:type="dxa"/>
          <w:bottom w:w="0" w:type="dxa"/>
          <w:right w:w="108" w:type="dxa"/>
        </w:tblCellMar>
      </w:tblPr>
      <w:tblGrid>
        <w:gridCol w:w="1234"/>
        <w:gridCol w:w="1107"/>
        <w:gridCol w:w="928"/>
        <w:gridCol w:w="1230"/>
        <w:gridCol w:w="419"/>
        <w:gridCol w:w="867"/>
        <w:gridCol w:w="416"/>
        <w:gridCol w:w="887"/>
        <w:gridCol w:w="507"/>
        <w:gridCol w:w="507"/>
        <w:gridCol w:w="2247"/>
      </w:tblGrid>
      <w:tr w14:paraId="636714C7">
        <w:tblPrEx>
          <w:tblCellMar>
            <w:top w:w="0" w:type="dxa"/>
            <w:left w:w="108" w:type="dxa"/>
            <w:bottom w:w="0" w:type="dxa"/>
            <w:right w:w="108" w:type="dxa"/>
          </w:tblCellMar>
        </w:tblPrEx>
        <w:trPr>
          <w:trHeight w:val="523" w:hRule="atLeast"/>
        </w:trPr>
        <w:tc>
          <w:tcPr>
            <w:tcW w:w="4794"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30E653">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13455CD5">
        <w:tblPrEx>
          <w:tblCellMar>
            <w:top w:w="0" w:type="dxa"/>
            <w:left w:w="108" w:type="dxa"/>
            <w:bottom w:w="0" w:type="dxa"/>
            <w:right w:w="108" w:type="dxa"/>
          </w:tblCellMar>
        </w:tblPrEx>
        <w:trPr>
          <w:trHeight w:val="203" w:hRule="atLeast"/>
        </w:trPr>
        <w:tc>
          <w:tcPr>
            <w:tcW w:w="10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A3FD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3710" w:type="pct"/>
            <w:gridSpan w:val="9"/>
            <w:tcBorders>
              <w:top w:val="single" w:color="000000" w:sz="4" w:space="0"/>
              <w:left w:val="nil"/>
              <w:bottom w:val="single" w:color="000000" w:sz="4" w:space="0"/>
              <w:right w:val="single" w:color="000000" w:sz="4" w:space="0"/>
            </w:tcBorders>
            <w:shd w:val="clear" w:color="auto" w:fill="auto"/>
            <w:vAlign w:val="center"/>
          </w:tcPr>
          <w:p w14:paraId="07BA084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51030023T000007584555-三名工程建设项目</w:t>
            </w:r>
          </w:p>
        </w:tc>
      </w:tr>
      <w:tr w14:paraId="00A445A3">
        <w:tblPrEx>
          <w:tblCellMar>
            <w:top w:w="0" w:type="dxa"/>
            <w:left w:w="108" w:type="dxa"/>
            <w:bottom w:w="0" w:type="dxa"/>
            <w:right w:w="108" w:type="dxa"/>
          </w:tblCellMar>
        </w:tblPrEx>
        <w:trPr>
          <w:trHeight w:val="693" w:hRule="atLeast"/>
        </w:trPr>
        <w:tc>
          <w:tcPr>
            <w:tcW w:w="10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5C12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主管部门</w:t>
            </w:r>
          </w:p>
        </w:tc>
        <w:tc>
          <w:tcPr>
            <w:tcW w:w="1788" w:type="pct"/>
            <w:gridSpan w:val="5"/>
            <w:tcBorders>
              <w:top w:val="single" w:color="000000" w:sz="4" w:space="0"/>
              <w:left w:val="nil"/>
              <w:bottom w:val="single" w:color="000000" w:sz="4" w:space="0"/>
              <w:right w:val="single" w:color="000000" w:sz="4" w:space="0"/>
            </w:tcBorders>
            <w:shd w:val="clear" w:color="auto" w:fill="auto"/>
            <w:vAlign w:val="center"/>
          </w:tcPr>
          <w:p w14:paraId="543D448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自贡市人力资源和社会保障局部门</w:t>
            </w:r>
          </w:p>
        </w:tc>
        <w:tc>
          <w:tcPr>
            <w:tcW w:w="411" w:type="pct"/>
            <w:tcBorders>
              <w:top w:val="nil"/>
              <w:left w:val="nil"/>
              <w:bottom w:val="nil"/>
              <w:right w:val="nil"/>
            </w:tcBorders>
            <w:shd w:val="clear" w:color="auto" w:fill="auto"/>
            <w:vAlign w:val="center"/>
          </w:tcPr>
          <w:p w14:paraId="56695B64">
            <w:pPr>
              <w:widowControl/>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实施单位 （盖章）</w:t>
            </w:r>
          </w:p>
        </w:tc>
        <w:tc>
          <w:tcPr>
            <w:tcW w:w="1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272E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自贡市职业培训学院</w:t>
            </w:r>
          </w:p>
        </w:tc>
      </w:tr>
      <w:tr w14:paraId="3A72F3E4">
        <w:tblPrEx>
          <w:tblCellMar>
            <w:top w:w="0" w:type="dxa"/>
            <w:left w:w="108" w:type="dxa"/>
            <w:bottom w:w="0" w:type="dxa"/>
            <w:right w:w="108" w:type="dxa"/>
          </w:tblCellMar>
        </w:tblPrEx>
        <w:trPr>
          <w:trHeight w:val="203" w:hRule="atLeast"/>
        </w:trPr>
        <w:tc>
          <w:tcPr>
            <w:tcW w:w="572" w:type="pct"/>
            <w:vMerge w:val="restart"/>
            <w:tcBorders>
              <w:top w:val="nil"/>
              <w:left w:val="single" w:color="000000" w:sz="4" w:space="0"/>
              <w:bottom w:val="single" w:color="000000" w:sz="4" w:space="0"/>
              <w:right w:val="single" w:color="000000" w:sz="4" w:space="0"/>
            </w:tcBorders>
            <w:shd w:val="clear" w:color="auto" w:fill="auto"/>
            <w:vAlign w:val="center"/>
          </w:tcPr>
          <w:p w14:paraId="4749916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项目基本情况</w:t>
            </w:r>
          </w:p>
        </w:tc>
        <w:tc>
          <w:tcPr>
            <w:tcW w:w="513" w:type="pct"/>
            <w:vMerge w:val="restart"/>
            <w:tcBorders>
              <w:top w:val="nil"/>
              <w:left w:val="single" w:color="000000" w:sz="4" w:space="0"/>
              <w:bottom w:val="single" w:color="000000" w:sz="4" w:space="0"/>
              <w:right w:val="single" w:color="000000" w:sz="4" w:space="0"/>
            </w:tcBorders>
            <w:shd w:val="clear" w:color="auto" w:fill="auto"/>
            <w:vAlign w:val="center"/>
          </w:tcPr>
          <w:p w14:paraId="462F2D4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1.项目年度目标完成情况</w:t>
            </w:r>
          </w:p>
        </w:tc>
        <w:tc>
          <w:tcPr>
            <w:tcW w:w="1788" w:type="pct"/>
            <w:gridSpan w:val="5"/>
            <w:tcBorders>
              <w:top w:val="single" w:color="000000" w:sz="4" w:space="0"/>
              <w:left w:val="nil"/>
              <w:bottom w:val="single" w:color="000000" w:sz="4" w:space="0"/>
              <w:right w:val="single" w:color="000000" w:sz="4" w:space="0"/>
            </w:tcBorders>
            <w:shd w:val="clear" w:color="auto" w:fill="auto"/>
            <w:vAlign w:val="center"/>
          </w:tcPr>
          <w:p w14:paraId="3613EEF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项目年度目标</w:t>
            </w:r>
          </w:p>
        </w:tc>
        <w:tc>
          <w:tcPr>
            <w:tcW w:w="1922" w:type="pct"/>
            <w:gridSpan w:val="4"/>
            <w:tcBorders>
              <w:top w:val="single" w:color="000000" w:sz="4" w:space="0"/>
              <w:left w:val="nil"/>
              <w:bottom w:val="single" w:color="000000" w:sz="4" w:space="0"/>
              <w:right w:val="single" w:color="000000" w:sz="4" w:space="0"/>
            </w:tcBorders>
            <w:shd w:val="clear" w:color="auto" w:fill="auto"/>
            <w:vAlign w:val="center"/>
          </w:tcPr>
          <w:p w14:paraId="36D1570F">
            <w:pPr>
              <w:widowControl/>
              <w:jc w:val="center"/>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年度目标完成情况</w:t>
            </w:r>
          </w:p>
        </w:tc>
      </w:tr>
      <w:tr w14:paraId="62D703E5">
        <w:tblPrEx>
          <w:tblCellMar>
            <w:top w:w="0" w:type="dxa"/>
            <w:left w:w="108" w:type="dxa"/>
            <w:bottom w:w="0" w:type="dxa"/>
            <w:right w:w="108" w:type="dxa"/>
          </w:tblCellMar>
        </w:tblPrEx>
        <w:trPr>
          <w:trHeight w:val="505" w:hRule="atLeast"/>
        </w:trPr>
        <w:tc>
          <w:tcPr>
            <w:tcW w:w="572" w:type="pct"/>
            <w:vMerge w:val="continue"/>
            <w:tcBorders>
              <w:top w:val="nil"/>
              <w:left w:val="single" w:color="000000" w:sz="4" w:space="0"/>
              <w:bottom w:val="single" w:color="000000" w:sz="4" w:space="0"/>
              <w:right w:val="single" w:color="000000" w:sz="4" w:space="0"/>
            </w:tcBorders>
            <w:vAlign w:val="center"/>
          </w:tcPr>
          <w:p w14:paraId="3EE4E263">
            <w:pPr>
              <w:widowControl/>
              <w:jc w:val="left"/>
              <w:rPr>
                <w:rFonts w:ascii="宋体" w:hAnsi="宋体" w:eastAsia="宋体" w:cs="宋体"/>
                <w:color w:val="000000"/>
                <w:kern w:val="0"/>
                <w:sz w:val="18"/>
                <w:szCs w:val="18"/>
              </w:rPr>
            </w:pPr>
          </w:p>
        </w:tc>
        <w:tc>
          <w:tcPr>
            <w:tcW w:w="513" w:type="pct"/>
            <w:vMerge w:val="continue"/>
            <w:tcBorders>
              <w:top w:val="nil"/>
              <w:left w:val="single" w:color="000000" w:sz="4" w:space="0"/>
              <w:bottom w:val="single" w:color="000000" w:sz="4" w:space="0"/>
              <w:right w:val="single" w:color="000000" w:sz="4" w:space="0"/>
            </w:tcBorders>
            <w:vAlign w:val="center"/>
          </w:tcPr>
          <w:p w14:paraId="62DE65F3">
            <w:pPr>
              <w:widowControl/>
              <w:jc w:val="left"/>
              <w:rPr>
                <w:rFonts w:ascii="宋体" w:hAnsi="宋体" w:eastAsia="宋体" w:cs="宋体"/>
                <w:color w:val="000000"/>
                <w:kern w:val="0"/>
                <w:sz w:val="18"/>
                <w:szCs w:val="18"/>
              </w:rPr>
            </w:pPr>
          </w:p>
        </w:tc>
        <w:tc>
          <w:tcPr>
            <w:tcW w:w="1788" w:type="pct"/>
            <w:gridSpan w:val="5"/>
            <w:tcBorders>
              <w:top w:val="single" w:color="000000" w:sz="4" w:space="0"/>
              <w:left w:val="nil"/>
              <w:bottom w:val="single" w:color="000000" w:sz="4" w:space="0"/>
              <w:right w:val="single" w:color="000000" w:sz="4" w:space="0"/>
            </w:tcBorders>
            <w:shd w:val="clear" w:color="auto" w:fill="auto"/>
            <w:vAlign w:val="center"/>
          </w:tcPr>
          <w:p w14:paraId="63027D6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本项目资金30.58万元用于购买18台智能交互平板（触控一体机），用于教学，提高教育教学质量，助力三名工程建设。</w:t>
            </w:r>
          </w:p>
        </w:tc>
        <w:tc>
          <w:tcPr>
            <w:tcW w:w="1922" w:type="pct"/>
            <w:gridSpan w:val="4"/>
            <w:tcBorders>
              <w:top w:val="single" w:color="000000" w:sz="4" w:space="0"/>
              <w:left w:val="nil"/>
              <w:bottom w:val="single" w:color="000000" w:sz="4" w:space="0"/>
              <w:right w:val="single" w:color="000000" w:sz="4" w:space="0"/>
            </w:tcBorders>
            <w:shd w:val="clear" w:color="auto" w:fill="auto"/>
            <w:vAlign w:val="center"/>
          </w:tcPr>
          <w:p w14:paraId="44821422">
            <w:pPr>
              <w:widowControl/>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购置了18台智能交互平板（触控一体机），打造智慧教室，提高了教学效果。</w:t>
            </w:r>
          </w:p>
        </w:tc>
      </w:tr>
      <w:tr w14:paraId="367485A2">
        <w:tblPrEx>
          <w:tblCellMar>
            <w:top w:w="0" w:type="dxa"/>
            <w:left w:w="108" w:type="dxa"/>
            <w:bottom w:w="0" w:type="dxa"/>
            <w:right w:w="108" w:type="dxa"/>
          </w:tblCellMar>
        </w:tblPrEx>
        <w:trPr>
          <w:trHeight w:val="538" w:hRule="atLeast"/>
        </w:trPr>
        <w:tc>
          <w:tcPr>
            <w:tcW w:w="572" w:type="pct"/>
            <w:vMerge w:val="continue"/>
            <w:tcBorders>
              <w:top w:val="nil"/>
              <w:left w:val="single" w:color="000000" w:sz="4" w:space="0"/>
              <w:bottom w:val="single" w:color="000000" w:sz="4" w:space="0"/>
              <w:right w:val="single" w:color="000000" w:sz="4" w:space="0"/>
            </w:tcBorders>
            <w:vAlign w:val="center"/>
          </w:tcPr>
          <w:p w14:paraId="451FB139">
            <w:pPr>
              <w:widowControl/>
              <w:jc w:val="left"/>
              <w:rPr>
                <w:rFonts w:ascii="宋体" w:hAnsi="宋体" w:eastAsia="宋体" w:cs="宋体"/>
                <w:color w:val="000000"/>
                <w:kern w:val="0"/>
                <w:sz w:val="18"/>
                <w:szCs w:val="18"/>
              </w:rPr>
            </w:pPr>
          </w:p>
        </w:tc>
        <w:tc>
          <w:tcPr>
            <w:tcW w:w="513" w:type="pct"/>
            <w:tcBorders>
              <w:top w:val="nil"/>
              <w:left w:val="nil"/>
              <w:bottom w:val="single" w:color="000000" w:sz="4" w:space="0"/>
              <w:right w:val="single" w:color="000000" w:sz="4" w:space="0"/>
            </w:tcBorders>
            <w:shd w:val="clear" w:color="auto" w:fill="auto"/>
            <w:vAlign w:val="center"/>
          </w:tcPr>
          <w:p w14:paraId="17B9045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2.项目实施内容及过程概述</w:t>
            </w:r>
          </w:p>
        </w:tc>
        <w:tc>
          <w:tcPr>
            <w:tcW w:w="3710" w:type="pct"/>
            <w:gridSpan w:val="9"/>
            <w:tcBorders>
              <w:top w:val="single" w:color="000000" w:sz="4" w:space="0"/>
              <w:left w:val="nil"/>
              <w:bottom w:val="single" w:color="000000" w:sz="4" w:space="0"/>
              <w:right w:val="single" w:color="000000" w:sz="4" w:space="0"/>
            </w:tcBorders>
            <w:shd w:val="clear" w:color="auto" w:fill="auto"/>
            <w:vAlign w:val="center"/>
          </w:tcPr>
          <w:p w14:paraId="4835F6F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r>
              <w:rPr>
                <w:rFonts w:ascii="宋体" w:hAnsi="宋体" w:eastAsia="宋体" w:cs="宋体"/>
                <w:color w:val="000000"/>
                <w:kern w:val="0"/>
                <w:sz w:val="18"/>
                <w:szCs w:val="18"/>
              </w:rPr>
              <w:t>严格执行相关政策，预算执行过程科学合理，按时足额支付。</w:t>
            </w:r>
          </w:p>
        </w:tc>
      </w:tr>
      <w:tr w14:paraId="3B0D0518">
        <w:tblPrEx>
          <w:tblCellMar>
            <w:top w:w="0" w:type="dxa"/>
            <w:left w:w="108" w:type="dxa"/>
            <w:bottom w:w="0" w:type="dxa"/>
            <w:right w:w="108" w:type="dxa"/>
          </w:tblCellMar>
        </w:tblPrEx>
        <w:trPr>
          <w:trHeight w:val="256" w:hRule="atLeast"/>
        </w:trPr>
        <w:tc>
          <w:tcPr>
            <w:tcW w:w="572" w:type="pct"/>
            <w:vMerge w:val="restart"/>
            <w:tcBorders>
              <w:top w:val="nil"/>
              <w:left w:val="single" w:color="000000" w:sz="4" w:space="0"/>
              <w:bottom w:val="single" w:color="000000" w:sz="4" w:space="0"/>
              <w:right w:val="single" w:color="000000" w:sz="4" w:space="0"/>
            </w:tcBorders>
            <w:shd w:val="clear" w:color="auto" w:fill="auto"/>
            <w:vAlign w:val="center"/>
          </w:tcPr>
          <w:p w14:paraId="32F8C72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预算执行情况（10分）</w:t>
            </w:r>
          </w:p>
        </w:tc>
        <w:tc>
          <w:tcPr>
            <w:tcW w:w="513" w:type="pct"/>
            <w:tcBorders>
              <w:top w:val="nil"/>
              <w:left w:val="nil"/>
              <w:bottom w:val="single" w:color="000000" w:sz="4" w:space="0"/>
              <w:right w:val="single" w:color="000000" w:sz="4" w:space="0"/>
            </w:tcBorders>
            <w:shd w:val="clear" w:color="auto" w:fill="auto"/>
            <w:vAlign w:val="center"/>
          </w:tcPr>
          <w:p w14:paraId="24335BD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年度预算数（万元）</w:t>
            </w:r>
          </w:p>
        </w:tc>
        <w:tc>
          <w:tcPr>
            <w:tcW w:w="430" w:type="pct"/>
            <w:tcBorders>
              <w:top w:val="nil"/>
              <w:left w:val="nil"/>
              <w:bottom w:val="single" w:color="000000" w:sz="4" w:space="0"/>
              <w:right w:val="single" w:color="000000" w:sz="4" w:space="0"/>
            </w:tcBorders>
            <w:shd w:val="clear" w:color="auto" w:fill="auto"/>
            <w:vAlign w:val="center"/>
          </w:tcPr>
          <w:p w14:paraId="26E4EB3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年初预算</w:t>
            </w:r>
          </w:p>
        </w:tc>
        <w:tc>
          <w:tcPr>
            <w:tcW w:w="570" w:type="pct"/>
            <w:tcBorders>
              <w:top w:val="nil"/>
              <w:left w:val="nil"/>
              <w:bottom w:val="single" w:color="000000" w:sz="4" w:space="0"/>
              <w:right w:val="single" w:color="000000" w:sz="4" w:space="0"/>
            </w:tcBorders>
            <w:shd w:val="clear" w:color="auto" w:fill="auto"/>
            <w:vAlign w:val="center"/>
          </w:tcPr>
          <w:p w14:paraId="580B395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调整后预算数</w:t>
            </w:r>
          </w:p>
        </w:tc>
        <w:tc>
          <w:tcPr>
            <w:tcW w:w="788" w:type="pct"/>
            <w:gridSpan w:val="3"/>
            <w:tcBorders>
              <w:top w:val="single" w:color="000000" w:sz="4" w:space="0"/>
              <w:left w:val="nil"/>
              <w:bottom w:val="single" w:color="000000" w:sz="4" w:space="0"/>
              <w:right w:val="single" w:color="000000" w:sz="4" w:space="0"/>
            </w:tcBorders>
            <w:shd w:val="clear" w:color="auto" w:fill="auto"/>
            <w:vAlign w:val="center"/>
          </w:tcPr>
          <w:p w14:paraId="7B2C420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预算执行数</w:t>
            </w:r>
          </w:p>
        </w:tc>
        <w:tc>
          <w:tcPr>
            <w:tcW w:w="411" w:type="pct"/>
            <w:tcBorders>
              <w:top w:val="nil"/>
              <w:left w:val="nil"/>
              <w:bottom w:val="single" w:color="000000" w:sz="4" w:space="0"/>
              <w:right w:val="single" w:color="000000" w:sz="4" w:space="0"/>
            </w:tcBorders>
            <w:shd w:val="clear" w:color="auto" w:fill="auto"/>
            <w:vAlign w:val="center"/>
          </w:tcPr>
          <w:p w14:paraId="56DFC19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w:t>
            </w:r>
          </w:p>
        </w:tc>
        <w:tc>
          <w:tcPr>
            <w:tcW w:w="235" w:type="pct"/>
            <w:tcBorders>
              <w:top w:val="nil"/>
              <w:left w:val="nil"/>
              <w:bottom w:val="single" w:color="000000" w:sz="4" w:space="0"/>
              <w:right w:val="single" w:color="000000" w:sz="4" w:space="0"/>
            </w:tcBorders>
            <w:shd w:val="clear" w:color="auto" w:fill="auto"/>
            <w:vAlign w:val="center"/>
          </w:tcPr>
          <w:p w14:paraId="1719042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235" w:type="pct"/>
            <w:tcBorders>
              <w:top w:val="nil"/>
              <w:left w:val="nil"/>
              <w:bottom w:val="single" w:color="000000" w:sz="4" w:space="0"/>
              <w:right w:val="single" w:color="000000" w:sz="4" w:space="0"/>
            </w:tcBorders>
            <w:shd w:val="clear" w:color="auto" w:fill="auto"/>
            <w:vAlign w:val="center"/>
          </w:tcPr>
          <w:p w14:paraId="04D13A6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1041" w:type="pct"/>
            <w:tcBorders>
              <w:top w:val="nil"/>
              <w:left w:val="nil"/>
              <w:bottom w:val="single" w:color="000000" w:sz="4" w:space="0"/>
              <w:right w:val="single" w:color="000000" w:sz="4" w:space="0"/>
            </w:tcBorders>
            <w:shd w:val="clear" w:color="auto" w:fill="auto"/>
            <w:vAlign w:val="center"/>
          </w:tcPr>
          <w:p w14:paraId="0DDA9C0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原因</w:t>
            </w:r>
          </w:p>
        </w:tc>
      </w:tr>
      <w:tr w14:paraId="0403CF07">
        <w:tblPrEx>
          <w:tblCellMar>
            <w:top w:w="0" w:type="dxa"/>
            <w:left w:w="108" w:type="dxa"/>
            <w:bottom w:w="0" w:type="dxa"/>
            <w:right w:w="108" w:type="dxa"/>
          </w:tblCellMar>
        </w:tblPrEx>
        <w:trPr>
          <w:trHeight w:val="246" w:hRule="atLeast"/>
        </w:trPr>
        <w:tc>
          <w:tcPr>
            <w:tcW w:w="572" w:type="pct"/>
            <w:vMerge w:val="continue"/>
            <w:tcBorders>
              <w:top w:val="nil"/>
              <w:left w:val="single" w:color="000000" w:sz="4" w:space="0"/>
              <w:bottom w:val="single" w:color="000000" w:sz="4" w:space="0"/>
              <w:right w:val="single" w:color="000000" w:sz="4" w:space="0"/>
            </w:tcBorders>
            <w:vAlign w:val="center"/>
          </w:tcPr>
          <w:p w14:paraId="07EBADAF">
            <w:pPr>
              <w:widowControl/>
              <w:jc w:val="left"/>
              <w:rPr>
                <w:rFonts w:ascii="宋体" w:hAnsi="宋体" w:eastAsia="宋体" w:cs="宋体"/>
                <w:color w:val="000000"/>
                <w:kern w:val="0"/>
                <w:sz w:val="18"/>
                <w:szCs w:val="18"/>
              </w:rPr>
            </w:pPr>
          </w:p>
        </w:tc>
        <w:tc>
          <w:tcPr>
            <w:tcW w:w="513" w:type="pct"/>
            <w:tcBorders>
              <w:top w:val="nil"/>
              <w:left w:val="nil"/>
              <w:bottom w:val="single" w:color="000000" w:sz="4" w:space="0"/>
              <w:right w:val="single" w:color="000000" w:sz="4" w:space="0"/>
            </w:tcBorders>
            <w:shd w:val="clear" w:color="auto" w:fill="auto"/>
            <w:vAlign w:val="center"/>
          </w:tcPr>
          <w:p w14:paraId="3F55BDB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总额</w:t>
            </w:r>
          </w:p>
        </w:tc>
        <w:tc>
          <w:tcPr>
            <w:tcW w:w="430" w:type="pct"/>
            <w:tcBorders>
              <w:top w:val="nil"/>
              <w:left w:val="nil"/>
              <w:bottom w:val="single" w:color="000000" w:sz="4" w:space="0"/>
              <w:right w:val="single" w:color="000000" w:sz="4" w:space="0"/>
            </w:tcBorders>
            <w:shd w:val="clear" w:color="auto" w:fill="auto"/>
            <w:vAlign w:val="center"/>
          </w:tcPr>
          <w:p w14:paraId="66E6831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70" w:type="pct"/>
            <w:tcBorders>
              <w:top w:val="nil"/>
              <w:left w:val="nil"/>
              <w:bottom w:val="single" w:color="000000" w:sz="4" w:space="0"/>
              <w:right w:val="single" w:color="000000" w:sz="4" w:space="0"/>
            </w:tcBorders>
            <w:shd w:val="clear" w:color="auto" w:fill="auto"/>
            <w:vAlign w:val="center"/>
          </w:tcPr>
          <w:p w14:paraId="2C2DC2C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30.58</w:t>
            </w:r>
          </w:p>
        </w:tc>
        <w:tc>
          <w:tcPr>
            <w:tcW w:w="788" w:type="pct"/>
            <w:gridSpan w:val="3"/>
            <w:tcBorders>
              <w:top w:val="single" w:color="000000" w:sz="4" w:space="0"/>
              <w:left w:val="nil"/>
              <w:bottom w:val="single" w:color="000000" w:sz="4" w:space="0"/>
              <w:right w:val="single" w:color="000000" w:sz="4" w:space="0"/>
            </w:tcBorders>
            <w:shd w:val="clear" w:color="auto" w:fill="auto"/>
            <w:vAlign w:val="center"/>
          </w:tcPr>
          <w:p w14:paraId="51F24F6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30.58</w:t>
            </w:r>
          </w:p>
        </w:tc>
        <w:tc>
          <w:tcPr>
            <w:tcW w:w="411" w:type="pct"/>
            <w:tcBorders>
              <w:top w:val="nil"/>
              <w:left w:val="nil"/>
              <w:bottom w:val="single" w:color="000000" w:sz="4" w:space="0"/>
              <w:right w:val="single" w:color="000000" w:sz="4" w:space="0"/>
            </w:tcBorders>
            <w:shd w:val="clear" w:color="auto" w:fill="auto"/>
            <w:vAlign w:val="center"/>
          </w:tcPr>
          <w:p w14:paraId="076AD44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235" w:type="pct"/>
            <w:tcBorders>
              <w:top w:val="nil"/>
              <w:left w:val="nil"/>
              <w:bottom w:val="single" w:color="000000" w:sz="4" w:space="0"/>
              <w:right w:val="single" w:color="000000" w:sz="4" w:space="0"/>
            </w:tcBorders>
            <w:shd w:val="clear" w:color="auto" w:fill="auto"/>
            <w:vAlign w:val="center"/>
          </w:tcPr>
          <w:p w14:paraId="6F057E1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235" w:type="pct"/>
            <w:tcBorders>
              <w:top w:val="nil"/>
              <w:left w:val="nil"/>
              <w:bottom w:val="single" w:color="000000" w:sz="4" w:space="0"/>
              <w:right w:val="single" w:color="000000" w:sz="4" w:space="0"/>
            </w:tcBorders>
            <w:shd w:val="clear" w:color="auto" w:fill="auto"/>
            <w:vAlign w:val="center"/>
          </w:tcPr>
          <w:p w14:paraId="3FF3638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　</w:t>
            </w:r>
          </w:p>
        </w:tc>
        <w:tc>
          <w:tcPr>
            <w:tcW w:w="1041" w:type="pct"/>
            <w:vMerge w:val="restart"/>
            <w:tcBorders>
              <w:top w:val="nil"/>
              <w:left w:val="single" w:color="000000" w:sz="4" w:space="0"/>
              <w:bottom w:val="single" w:color="000000" w:sz="4" w:space="0"/>
              <w:right w:val="single" w:color="000000" w:sz="4" w:space="0"/>
            </w:tcBorders>
            <w:shd w:val="clear" w:color="auto" w:fill="auto"/>
            <w:vAlign w:val="center"/>
          </w:tcPr>
          <w:p w14:paraId="2B8356B5">
            <w:pPr>
              <w:widowControl/>
              <w:jc w:val="left"/>
              <w:rPr>
                <w:rFonts w:ascii="Courier New" w:hAnsi="Courier New" w:eastAsia="宋体" w:cs="Courier New"/>
                <w:i/>
                <w:iCs/>
                <w:color w:val="000000"/>
                <w:kern w:val="0"/>
                <w:sz w:val="18"/>
                <w:szCs w:val="18"/>
              </w:rPr>
            </w:pPr>
            <w:r>
              <w:rPr>
                <w:rFonts w:ascii="Courier New" w:hAnsi="Courier New" w:eastAsia="宋体" w:cs="Courier New"/>
                <w:i/>
                <w:iCs/>
                <w:color w:val="000000"/>
                <w:kern w:val="0"/>
                <w:sz w:val="18"/>
                <w:szCs w:val="18"/>
              </w:rPr>
              <w:t>　</w:t>
            </w:r>
          </w:p>
        </w:tc>
      </w:tr>
      <w:tr w14:paraId="4B902DE6">
        <w:tblPrEx>
          <w:tblCellMar>
            <w:top w:w="0" w:type="dxa"/>
            <w:left w:w="108" w:type="dxa"/>
            <w:bottom w:w="0" w:type="dxa"/>
            <w:right w:w="108" w:type="dxa"/>
          </w:tblCellMar>
        </w:tblPrEx>
        <w:trPr>
          <w:trHeight w:val="278" w:hRule="atLeast"/>
        </w:trPr>
        <w:tc>
          <w:tcPr>
            <w:tcW w:w="572" w:type="pct"/>
            <w:vMerge w:val="continue"/>
            <w:tcBorders>
              <w:top w:val="nil"/>
              <w:left w:val="single" w:color="000000" w:sz="4" w:space="0"/>
              <w:bottom w:val="single" w:color="000000" w:sz="4" w:space="0"/>
              <w:right w:val="single" w:color="000000" w:sz="4" w:space="0"/>
            </w:tcBorders>
            <w:vAlign w:val="center"/>
          </w:tcPr>
          <w:p w14:paraId="0E649435">
            <w:pPr>
              <w:widowControl/>
              <w:jc w:val="left"/>
              <w:rPr>
                <w:rFonts w:ascii="宋体" w:hAnsi="宋体" w:eastAsia="宋体" w:cs="宋体"/>
                <w:color w:val="000000"/>
                <w:kern w:val="0"/>
                <w:sz w:val="18"/>
                <w:szCs w:val="18"/>
              </w:rPr>
            </w:pPr>
          </w:p>
        </w:tc>
        <w:tc>
          <w:tcPr>
            <w:tcW w:w="513" w:type="pct"/>
            <w:tcBorders>
              <w:top w:val="nil"/>
              <w:left w:val="nil"/>
              <w:bottom w:val="single" w:color="000000" w:sz="4" w:space="0"/>
              <w:right w:val="single" w:color="000000" w:sz="4" w:space="0"/>
            </w:tcBorders>
            <w:shd w:val="clear" w:color="auto" w:fill="auto"/>
            <w:vAlign w:val="center"/>
          </w:tcPr>
          <w:p w14:paraId="165CDED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其中：财政资金</w:t>
            </w:r>
          </w:p>
        </w:tc>
        <w:tc>
          <w:tcPr>
            <w:tcW w:w="430" w:type="pct"/>
            <w:tcBorders>
              <w:top w:val="nil"/>
              <w:left w:val="nil"/>
              <w:bottom w:val="single" w:color="000000" w:sz="4" w:space="0"/>
              <w:right w:val="single" w:color="000000" w:sz="4" w:space="0"/>
            </w:tcBorders>
            <w:shd w:val="clear" w:color="auto" w:fill="auto"/>
            <w:vAlign w:val="center"/>
          </w:tcPr>
          <w:p w14:paraId="6615127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70" w:type="pct"/>
            <w:tcBorders>
              <w:top w:val="nil"/>
              <w:left w:val="nil"/>
              <w:bottom w:val="single" w:color="000000" w:sz="4" w:space="0"/>
              <w:right w:val="single" w:color="000000" w:sz="4" w:space="0"/>
            </w:tcBorders>
            <w:shd w:val="clear" w:color="auto" w:fill="auto"/>
            <w:vAlign w:val="center"/>
          </w:tcPr>
          <w:p w14:paraId="16970C2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30.58</w:t>
            </w:r>
          </w:p>
        </w:tc>
        <w:tc>
          <w:tcPr>
            <w:tcW w:w="788" w:type="pct"/>
            <w:gridSpan w:val="3"/>
            <w:tcBorders>
              <w:top w:val="single" w:color="000000" w:sz="4" w:space="0"/>
              <w:left w:val="nil"/>
              <w:bottom w:val="single" w:color="000000" w:sz="4" w:space="0"/>
              <w:right w:val="single" w:color="000000" w:sz="4" w:space="0"/>
            </w:tcBorders>
            <w:shd w:val="clear" w:color="auto" w:fill="auto"/>
            <w:vAlign w:val="center"/>
          </w:tcPr>
          <w:p w14:paraId="7BBDD28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30.58</w:t>
            </w:r>
          </w:p>
        </w:tc>
        <w:tc>
          <w:tcPr>
            <w:tcW w:w="411" w:type="pct"/>
            <w:tcBorders>
              <w:top w:val="nil"/>
              <w:left w:val="nil"/>
              <w:bottom w:val="single" w:color="000000" w:sz="4" w:space="0"/>
              <w:right w:val="single" w:color="000000" w:sz="4" w:space="0"/>
            </w:tcBorders>
            <w:shd w:val="clear" w:color="auto" w:fill="auto"/>
            <w:vAlign w:val="center"/>
          </w:tcPr>
          <w:p w14:paraId="737B5C6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235" w:type="pct"/>
            <w:tcBorders>
              <w:top w:val="nil"/>
              <w:left w:val="nil"/>
              <w:bottom w:val="single" w:color="000000" w:sz="4" w:space="0"/>
              <w:right w:val="single" w:color="000000" w:sz="4" w:space="0"/>
            </w:tcBorders>
            <w:shd w:val="clear" w:color="auto" w:fill="auto"/>
            <w:vAlign w:val="center"/>
          </w:tcPr>
          <w:p w14:paraId="430981F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35" w:type="pct"/>
            <w:tcBorders>
              <w:top w:val="nil"/>
              <w:left w:val="nil"/>
              <w:bottom w:val="single" w:color="000000" w:sz="4" w:space="0"/>
              <w:right w:val="single" w:color="000000" w:sz="4" w:space="0"/>
            </w:tcBorders>
            <w:shd w:val="clear" w:color="auto" w:fill="auto"/>
            <w:vAlign w:val="center"/>
          </w:tcPr>
          <w:p w14:paraId="0085349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41" w:type="pct"/>
            <w:vMerge w:val="continue"/>
            <w:tcBorders>
              <w:top w:val="nil"/>
              <w:left w:val="single" w:color="000000" w:sz="4" w:space="0"/>
              <w:bottom w:val="single" w:color="000000" w:sz="4" w:space="0"/>
              <w:right w:val="single" w:color="000000" w:sz="4" w:space="0"/>
            </w:tcBorders>
            <w:vAlign w:val="center"/>
          </w:tcPr>
          <w:p w14:paraId="0C46C9E8">
            <w:pPr>
              <w:widowControl/>
              <w:jc w:val="left"/>
              <w:rPr>
                <w:rFonts w:ascii="Courier New" w:hAnsi="Courier New" w:eastAsia="宋体" w:cs="Courier New"/>
                <w:i/>
                <w:iCs/>
                <w:color w:val="000000"/>
                <w:kern w:val="0"/>
                <w:sz w:val="18"/>
                <w:szCs w:val="18"/>
              </w:rPr>
            </w:pPr>
          </w:p>
        </w:tc>
      </w:tr>
      <w:tr w14:paraId="180CD4E6">
        <w:tblPrEx>
          <w:tblCellMar>
            <w:top w:w="0" w:type="dxa"/>
            <w:left w:w="108" w:type="dxa"/>
            <w:bottom w:w="0" w:type="dxa"/>
            <w:right w:w="108" w:type="dxa"/>
          </w:tblCellMar>
        </w:tblPrEx>
        <w:trPr>
          <w:trHeight w:val="291" w:hRule="atLeast"/>
        </w:trPr>
        <w:tc>
          <w:tcPr>
            <w:tcW w:w="572" w:type="pct"/>
            <w:vMerge w:val="continue"/>
            <w:tcBorders>
              <w:top w:val="nil"/>
              <w:left w:val="single" w:color="000000" w:sz="4" w:space="0"/>
              <w:bottom w:val="single" w:color="000000" w:sz="4" w:space="0"/>
              <w:right w:val="single" w:color="000000" w:sz="4" w:space="0"/>
            </w:tcBorders>
            <w:vAlign w:val="center"/>
          </w:tcPr>
          <w:p w14:paraId="544C307A">
            <w:pPr>
              <w:widowControl/>
              <w:jc w:val="left"/>
              <w:rPr>
                <w:rFonts w:ascii="宋体" w:hAnsi="宋体" w:eastAsia="宋体" w:cs="宋体"/>
                <w:color w:val="000000"/>
                <w:kern w:val="0"/>
                <w:sz w:val="18"/>
                <w:szCs w:val="18"/>
              </w:rPr>
            </w:pPr>
          </w:p>
        </w:tc>
        <w:tc>
          <w:tcPr>
            <w:tcW w:w="513" w:type="pct"/>
            <w:tcBorders>
              <w:top w:val="nil"/>
              <w:left w:val="nil"/>
              <w:bottom w:val="single" w:color="000000" w:sz="4" w:space="0"/>
              <w:right w:val="single" w:color="000000" w:sz="4" w:space="0"/>
            </w:tcBorders>
            <w:shd w:val="clear" w:color="auto" w:fill="auto"/>
            <w:vAlign w:val="center"/>
          </w:tcPr>
          <w:p w14:paraId="7848947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财政专户管理资金</w:t>
            </w:r>
          </w:p>
        </w:tc>
        <w:tc>
          <w:tcPr>
            <w:tcW w:w="430" w:type="pct"/>
            <w:tcBorders>
              <w:top w:val="nil"/>
              <w:left w:val="nil"/>
              <w:bottom w:val="single" w:color="000000" w:sz="4" w:space="0"/>
              <w:right w:val="single" w:color="000000" w:sz="4" w:space="0"/>
            </w:tcBorders>
            <w:shd w:val="clear" w:color="auto" w:fill="auto"/>
            <w:vAlign w:val="center"/>
          </w:tcPr>
          <w:p w14:paraId="1829F6E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70" w:type="pct"/>
            <w:tcBorders>
              <w:top w:val="nil"/>
              <w:left w:val="nil"/>
              <w:bottom w:val="single" w:color="000000" w:sz="4" w:space="0"/>
              <w:right w:val="single" w:color="000000" w:sz="4" w:space="0"/>
            </w:tcBorders>
            <w:shd w:val="clear" w:color="auto" w:fill="auto"/>
            <w:vAlign w:val="center"/>
          </w:tcPr>
          <w:p w14:paraId="39C2099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88" w:type="pct"/>
            <w:gridSpan w:val="3"/>
            <w:tcBorders>
              <w:top w:val="single" w:color="000000" w:sz="4" w:space="0"/>
              <w:left w:val="nil"/>
              <w:bottom w:val="single" w:color="000000" w:sz="4" w:space="0"/>
              <w:right w:val="single" w:color="000000" w:sz="4" w:space="0"/>
            </w:tcBorders>
            <w:shd w:val="clear" w:color="auto" w:fill="auto"/>
            <w:vAlign w:val="center"/>
          </w:tcPr>
          <w:p w14:paraId="11330D4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411" w:type="pct"/>
            <w:tcBorders>
              <w:top w:val="nil"/>
              <w:left w:val="nil"/>
              <w:bottom w:val="single" w:color="000000" w:sz="4" w:space="0"/>
              <w:right w:val="single" w:color="000000" w:sz="4" w:space="0"/>
            </w:tcBorders>
            <w:shd w:val="clear" w:color="auto" w:fill="auto"/>
            <w:vAlign w:val="center"/>
          </w:tcPr>
          <w:p w14:paraId="37B8CBE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35" w:type="pct"/>
            <w:tcBorders>
              <w:top w:val="nil"/>
              <w:left w:val="nil"/>
              <w:bottom w:val="single" w:color="000000" w:sz="4" w:space="0"/>
              <w:right w:val="single" w:color="000000" w:sz="4" w:space="0"/>
            </w:tcBorders>
            <w:shd w:val="clear" w:color="auto" w:fill="auto"/>
            <w:vAlign w:val="center"/>
          </w:tcPr>
          <w:p w14:paraId="13F31C0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35" w:type="pct"/>
            <w:tcBorders>
              <w:top w:val="nil"/>
              <w:left w:val="nil"/>
              <w:bottom w:val="single" w:color="000000" w:sz="4" w:space="0"/>
              <w:right w:val="single" w:color="000000" w:sz="4" w:space="0"/>
            </w:tcBorders>
            <w:shd w:val="clear" w:color="auto" w:fill="auto"/>
            <w:vAlign w:val="center"/>
          </w:tcPr>
          <w:p w14:paraId="6B409CC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41" w:type="pct"/>
            <w:vMerge w:val="continue"/>
            <w:tcBorders>
              <w:top w:val="nil"/>
              <w:left w:val="single" w:color="000000" w:sz="4" w:space="0"/>
              <w:bottom w:val="single" w:color="000000" w:sz="4" w:space="0"/>
              <w:right w:val="single" w:color="000000" w:sz="4" w:space="0"/>
            </w:tcBorders>
            <w:vAlign w:val="center"/>
          </w:tcPr>
          <w:p w14:paraId="61768ABF">
            <w:pPr>
              <w:widowControl/>
              <w:jc w:val="left"/>
              <w:rPr>
                <w:rFonts w:ascii="Courier New" w:hAnsi="Courier New" w:eastAsia="宋体" w:cs="Courier New"/>
                <w:i/>
                <w:iCs/>
                <w:color w:val="000000"/>
                <w:kern w:val="0"/>
                <w:sz w:val="18"/>
                <w:szCs w:val="18"/>
              </w:rPr>
            </w:pPr>
          </w:p>
        </w:tc>
      </w:tr>
      <w:tr w14:paraId="36A7788B">
        <w:tblPrEx>
          <w:tblCellMar>
            <w:top w:w="0" w:type="dxa"/>
            <w:left w:w="108" w:type="dxa"/>
            <w:bottom w:w="0" w:type="dxa"/>
            <w:right w:w="108" w:type="dxa"/>
          </w:tblCellMar>
        </w:tblPrEx>
        <w:trPr>
          <w:trHeight w:val="256" w:hRule="atLeast"/>
        </w:trPr>
        <w:tc>
          <w:tcPr>
            <w:tcW w:w="572" w:type="pct"/>
            <w:vMerge w:val="continue"/>
            <w:tcBorders>
              <w:top w:val="nil"/>
              <w:left w:val="single" w:color="000000" w:sz="4" w:space="0"/>
              <w:bottom w:val="single" w:color="000000" w:sz="4" w:space="0"/>
              <w:right w:val="single" w:color="000000" w:sz="4" w:space="0"/>
            </w:tcBorders>
            <w:vAlign w:val="center"/>
          </w:tcPr>
          <w:p w14:paraId="53342C19">
            <w:pPr>
              <w:widowControl/>
              <w:jc w:val="left"/>
              <w:rPr>
                <w:rFonts w:ascii="宋体" w:hAnsi="宋体" w:eastAsia="宋体" w:cs="宋体"/>
                <w:color w:val="000000"/>
                <w:kern w:val="0"/>
                <w:sz w:val="18"/>
                <w:szCs w:val="18"/>
              </w:rPr>
            </w:pPr>
          </w:p>
        </w:tc>
        <w:tc>
          <w:tcPr>
            <w:tcW w:w="513" w:type="pct"/>
            <w:tcBorders>
              <w:top w:val="nil"/>
              <w:left w:val="nil"/>
              <w:bottom w:val="single" w:color="000000" w:sz="4" w:space="0"/>
              <w:right w:val="single" w:color="000000" w:sz="4" w:space="0"/>
            </w:tcBorders>
            <w:shd w:val="clear" w:color="auto" w:fill="auto"/>
            <w:vAlign w:val="center"/>
          </w:tcPr>
          <w:p w14:paraId="268C704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单位资金</w:t>
            </w:r>
          </w:p>
        </w:tc>
        <w:tc>
          <w:tcPr>
            <w:tcW w:w="430" w:type="pct"/>
            <w:tcBorders>
              <w:top w:val="nil"/>
              <w:left w:val="nil"/>
              <w:bottom w:val="single" w:color="000000" w:sz="4" w:space="0"/>
              <w:right w:val="single" w:color="000000" w:sz="4" w:space="0"/>
            </w:tcBorders>
            <w:shd w:val="clear" w:color="auto" w:fill="auto"/>
            <w:vAlign w:val="center"/>
          </w:tcPr>
          <w:p w14:paraId="318A9F9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70" w:type="pct"/>
            <w:tcBorders>
              <w:top w:val="nil"/>
              <w:left w:val="nil"/>
              <w:bottom w:val="single" w:color="000000" w:sz="4" w:space="0"/>
              <w:right w:val="single" w:color="000000" w:sz="4" w:space="0"/>
            </w:tcBorders>
            <w:shd w:val="clear" w:color="auto" w:fill="auto"/>
            <w:vAlign w:val="center"/>
          </w:tcPr>
          <w:p w14:paraId="2076908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88" w:type="pct"/>
            <w:gridSpan w:val="3"/>
            <w:tcBorders>
              <w:top w:val="single" w:color="000000" w:sz="4" w:space="0"/>
              <w:left w:val="nil"/>
              <w:bottom w:val="single" w:color="000000" w:sz="4" w:space="0"/>
              <w:right w:val="single" w:color="000000" w:sz="4" w:space="0"/>
            </w:tcBorders>
            <w:shd w:val="clear" w:color="auto" w:fill="auto"/>
            <w:vAlign w:val="center"/>
          </w:tcPr>
          <w:p w14:paraId="5419E7D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411" w:type="pct"/>
            <w:tcBorders>
              <w:top w:val="nil"/>
              <w:left w:val="nil"/>
              <w:bottom w:val="single" w:color="000000" w:sz="4" w:space="0"/>
              <w:right w:val="single" w:color="000000" w:sz="4" w:space="0"/>
            </w:tcBorders>
            <w:shd w:val="clear" w:color="auto" w:fill="auto"/>
            <w:vAlign w:val="center"/>
          </w:tcPr>
          <w:p w14:paraId="37FDF6A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35" w:type="pct"/>
            <w:tcBorders>
              <w:top w:val="nil"/>
              <w:left w:val="nil"/>
              <w:bottom w:val="single" w:color="000000" w:sz="4" w:space="0"/>
              <w:right w:val="single" w:color="000000" w:sz="4" w:space="0"/>
            </w:tcBorders>
            <w:shd w:val="clear" w:color="auto" w:fill="auto"/>
            <w:vAlign w:val="center"/>
          </w:tcPr>
          <w:p w14:paraId="666659D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35" w:type="pct"/>
            <w:tcBorders>
              <w:top w:val="nil"/>
              <w:left w:val="nil"/>
              <w:bottom w:val="single" w:color="000000" w:sz="4" w:space="0"/>
              <w:right w:val="single" w:color="000000" w:sz="4" w:space="0"/>
            </w:tcBorders>
            <w:shd w:val="clear" w:color="auto" w:fill="auto"/>
            <w:vAlign w:val="center"/>
          </w:tcPr>
          <w:p w14:paraId="2284126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41" w:type="pct"/>
            <w:vMerge w:val="continue"/>
            <w:tcBorders>
              <w:top w:val="nil"/>
              <w:left w:val="single" w:color="000000" w:sz="4" w:space="0"/>
              <w:bottom w:val="single" w:color="000000" w:sz="4" w:space="0"/>
              <w:right w:val="single" w:color="000000" w:sz="4" w:space="0"/>
            </w:tcBorders>
            <w:vAlign w:val="center"/>
          </w:tcPr>
          <w:p w14:paraId="3A246B40">
            <w:pPr>
              <w:widowControl/>
              <w:jc w:val="left"/>
              <w:rPr>
                <w:rFonts w:ascii="Courier New" w:hAnsi="Courier New" w:eastAsia="宋体" w:cs="Courier New"/>
                <w:i/>
                <w:iCs/>
                <w:color w:val="000000"/>
                <w:kern w:val="0"/>
                <w:sz w:val="18"/>
                <w:szCs w:val="18"/>
              </w:rPr>
            </w:pPr>
          </w:p>
        </w:tc>
      </w:tr>
      <w:tr w14:paraId="13D0D131">
        <w:tblPrEx>
          <w:tblCellMar>
            <w:top w:w="0" w:type="dxa"/>
            <w:left w:w="108" w:type="dxa"/>
            <w:bottom w:w="0" w:type="dxa"/>
            <w:right w:w="108" w:type="dxa"/>
          </w:tblCellMar>
        </w:tblPrEx>
        <w:trPr>
          <w:trHeight w:val="241" w:hRule="atLeast"/>
        </w:trPr>
        <w:tc>
          <w:tcPr>
            <w:tcW w:w="572" w:type="pct"/>
            <w:vMerge w:val="continue"/>
            <w:tcBorders>
              <w:top w:val="nil"/>
              <w:left w:val="single" w:color="000000" w:sz="4" w:space="0"/>
              <w:bottom w:val="single" w:color="000000" w:sz="4" w:space="0"/>
              <w:right w:val="single" w:color="000000" w:sz="4" w:space="0"/>
            </w:tcBorders>
            <w:vAlign w:val="center"/>
          </w:tcPr>
          <w:p w14:paraId="63698ED5">
            <w:pPr>
              <w:widowControl/>
              <w:jc w:val="left"/>
              <w:rPr>
                <w:rFonts w:ascii="宋体" w:hAnsi="宋体" w:eastAsia="宋体" w:cs="宋体"/>
                <w:color w:val="000000"/>
                <w:kern w:val="0"/>
                <w:sz w:val="18"/>
                <w:szCs w:val="18"/>
              </w:rPr>
            </w:pPr>
          </w:p>
        </w:tc>
        <w:tc>
          <w:tcPr>
            <w:tcW w:w="513" w:type="pct"/>
            <w:tcBorders>
              <w:top w:val="nil"/>
              <w:left w:val="nil"/>
              <w:bottom w:val="single" w:color="000000" w:sz="4" w:space="0"/>
              <w:right w:val="single" w:color="000000" w:sz="4" w:space="0"/>
            </w:tcBorders>
            <w:shd w:val="clear" w:color="auto" w:fill="auto"/>
            <w:vAlign w:val="center"/>
          </w:tcPr>
          <w:p w14:paraId="5D9F4F9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其他资金</w:t>
            </w:r>
          </w:p>
        </w:tc>
        <w:tc>
          <w:tcPr>
            <w:tcW w:w="430" w:type="pct"/>
            <w:tcBorders>
              <w:top w:val="nil"/>
              <w:left w:val="nil"/>
              <w:bottom w:val="single" w:color="000000" w:sz="4" w:space="0"/>
              <w:right w:val="single" w:color="000000" w:sz="4" w:space="0"/>
            </w:tcBorders>
            <w:shd w:val="clear" w:color="auto" w:fill="auto"/>
            <w:vAlign w:val="center"/>
          </w:tcPr>
          <w:p w14:paraId="0B9F762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0" w:type="pct"/>
            <w:tcBorders>
              <w:top w:val="nil"/>
              <w:left w:val="nil"/>
              <w:bottom w:val="single" w:color="000000" w:sz="4" w:space="0"/>
              <w:right w:val="single" w:color="000000" w:sz="4" w:space="0"/>
            </w:tcBorders>
            <w:shd w:val="clear" w:color="auto" w:fill="auto"/>
            <w:vAlign w:val="center"/>
          </w:tcPr>
          <w:p w14:paraId="04E29C1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88" w:type="pct"/>
            <w:gridSpan w:val="3"/>
            <w:tcBorders>
              <w:top w:val="single" w:color="000000" w:sz="4" w:space="0"/>
              <w:left w:val="nil"/>
              <w:bottom w:val="single" w:color="000000" w:sz="4" w:space="0"/>
              <w:right w:val="single" w:color="000000" w:sz="4" w:space="0"/>
            </w:tcBorders>
            <w:shd w:val="clear" w:color="auto" w:fill="auto"/>
            <w:vAlign w:val="center"/>
          </w:tcPr>
          <w:p w14:paraId="23C5D2F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11" w:type="pct"/>
            <w:tcBorders>
              <w:top w:val="nil"/>
              <w:left w:val="nil"/>
              <w:bottom w:val="single" w:color="000000" w:sz="4" w:space="0"/>
              <w:right w:val="single" w:color="000000" w:sz="4" w:space="0"/>
            </w:tcBorders>
            <w:shd w:val="clear" w:color="auto" w:fill="auto"/>
            <w:vAlign w:val="center"/>
          </w:tcPr>
          <w:p w14:paraId="1650E20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5" w:type="pct"/>
            <w:tcBorders>
              <w:top w:val="nil"/>
              <w:left w:val="nil"/>
              <w:bottom w:val="single" w:color="000000" w:sz="4" w:space="0"/>
              <w:right w:val="single" w:color="000000" w:sz="4" w:space="0"/>
            </w:tcBorders>
            <w:shd w:val="clear" w:color="auto" w:fill="auto"/>
            <w:vAlign w:val="center"/>
          </w:tcPr>
          <w:p w14:paraId="3CDF24B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35" w:type="pct"/>
            <w:tcBorders>
              <w:top w:val="nil"/>
              <w:left w:val="nil"/>
              <w:bottom w:val="single" w:color="000000" w:sz="4" w:space="0"/>
              <w:right w:val="single" w:color="000000" w:sz="4" w:space="0"/>
            </w:tcBorders>
            <w:shd w:val="clear" w:color="auto" w:fill="auto"/>
            <w:vAlign w:val="center"/>
          </w:tcPr>
          <w:p w14:paraId="29AABB5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41" w:type="pct"/>
            <w:vMerge w:val="continue"/>
            <w:tcBorders>
              <w:top w:val="nil"/>
              <w:left w:val="single" w:color="000000" w:sz="4" w:space="0"/>
              <w:bottom w:val="single" w:color="000000" w:sz="4" w:space="0"/>
              <w:right w:val="single" w:color="000000" w:sz="4" w:space="0"/>
            </w:tcBorders>
            <w:vAlign w:val="center"/>
          </w:tcPr>
          <w:p w14:paraId="420B8905">
            <w:pPr>
              <w:widowControl/>
              <w:jc w:val="left"/>
              <w:rPr>
                <w:rFonts w:ascii="Courier New" w:hAnsi="Courier New" w:eastAsia="宋体" w:cs="Courier New"/>
                <w:i/>
                <w:iCs/>
                <w:color w:val="000000"/>
                <w:kern w:val="0"/>
                <w:sz w:val="18"/>
                <w:szCs w:val="18"/>
              </w:rPr>
            </w:pPr>
          </w:p>
        </w:tc>
      </w:tr>
      <w:tr w14:paraId="4A9DDE23">
        <w:tblPrEx>
          <w:tblCellMar>
            <w:top w:w="0" w:type="dxa"/>
            <w:left w:w="108" w:type="dxa"/>
            <w:bottom w:w="0" w:type="dxa"/>
            <w:right w:w="108" w:type="dxa"/>
          </w:tblCellMar>
        </w:tblPrEx>
        <w:trPr>
          <w:trHeight w:val="323" w:hRule="atLeast"/>
        </w:trPr>
        <w:tc>
          <w:tcPr>
            <w:tcW w:w="572" w:type="pct"/>
            <w:vMerge w:val="restart"/>
            <w:tcBorders>
              <w:top w:val="nil"/>
              <w:left w:val="single" w:color="000000" w:sz="4" w:space="0"/>
              <w:bottom w:val="single" w:color="000000" w:sz="4" w:space="0"/>
              <w:right w:val="single" w:color="000000" w:sz="4" w:space="0"/>
            </w:tcBorders>
            <w:shd w:val="clear" w:color="auto" w:fill="auto"/>
            <w:vAlign w:val="center"/>
          </w:tcPr>
          <w:p w14:paraId="2FF8845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绩效指标（90分）</w:t>
            </w:r>
          </w:p>
        </w:tc>
        <w:tc>
          <w:tcPr>
            <w:tcW w:w="513" w:type="pct"/>
            <w:tcBorders>
              <w:top w:val="nil"/>
              <w:left w:val="nil"/>
              <w:bottom w:val="single" w:color="000000" w:sz="4" w:space="0"/>
              <w:right w:val="single" w:color="000000" w:sz="4" w:space="0"/>
            </w:tcBorders>
            <w:shd w:val="clear" w:color="auto" w:fill="auto"/>
            <w:vAlign w:val="center"/>
          </w:tcPr>
          <w:p w14:paraId="77B26AC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一级指标</w:t>
            </w:r>
          </w:p>
        </w:tc>
        <w:tc>
          <w:tcPr>
            <w:tcW w:w="430" w:type="pct"/>
            <w:tcBorders>
              <w:top w:val="nil"/>
              <w:left w:val="nil"/>
              <w:bottom w:val="single" w:color="000000" w:sz="4" w:space="0"/>
              <w:right w:val="single" w:color="000000" w:sz="4" w:space="0"/>
            </w:tcBorders>
            <w:shd w:val="clear" w:color="auto" w:fill="auto"/>
            <w:vAlign w:val="center"/>
          </w:tcPr>
          <w:p w14:paraId="04B7A72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二级指标</w:t>
            </w:r>
          </w:p>
        </w:tc>
        <w:tc>
          <w:tcPr>
            <w:tcW w:w="570" w:type="pct"/>
            <w:tcBorders>
              <w:top w:val="nil"/>
              <w:left w:val="nil"/>
              <w:bottom w:val="single" w:color="000000" w:sz="4" w:space="0"/>
              <w:right w:val="single" w:color="000000" w:sz="4" w:space="0"/>
            </w:tcBorders>
            <w:shd w:val="clear" w:color="auto" w:fill="auto"/>
            <w:vAlign w:val="center"/>
          </w:tcPr>
          <w:p w14:paraId="734F837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三级指标</w:t>
            </w:r>
          </w:p>
        </w:tc>
        <w:tc>
          <w:tcPr>
            <w:tcW w:w="194" w:type="pct"/>
            <w:tcBorders>
              <w:top w:val="nil"/>
              <w:left w:val="nil"/>
              <w:bottom w:val="single" w:color="000000" w:sz="4" w:space="0"/>
              <w:right w:val="single" w:color="000000" w:sz="4" w:space="0"/>
            </w:tcBorders>
            <w:shd w:val="clear" w:color="auto" w:fill="auto"/>
            <w:vAlign w:val="center"/>
          </w:tcPr>
          <w:p w14:paraId="7449E3D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指标性质</w:t>
            </w:r>
          </w:p>
        </w:tc>
        <w:tc>
          <w:tcPr>
            <w:tcW w:w="402" w:type="pct"/>
            <w:tcBorders>
              <w:top w:val="nil"/>
              <w:left w:val="nil"/>
              <w:bottom w:val="single" w:color="000000" w:sz="4" w:space="0"/>
              <w:right w:val="single" w:color="000000" w:sz="4" w:space="0"/>
            </w:tcBorders>
            <w:shd w:val="clear" w:color="auto" w:fill="auto"/>
            <w:vAlign w:val="center"/>
          </w:tcPr>
          <w:p w14:paraId="609208A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指标值</w:t>
            </w:r>
          </w:p>
        </w:tc>
        <w:tc>
          <w:tcPr>
            <w:tcW w:w="193" w:type="pct"/>
            <w:tcBorders>
              <w:top w:val="nil"/>
              <w:left w:val="nil"/>
              <w:bottom w:val="single" w:color="000000" w:sz="4" w:space="0"/>
              <w:right w:val="single" w:color="000000" w:sz="4" w:space="0"/>
            </w:tcBorders>
            <w:shd w:val="clear" w:color="auto" w:fill="auto"/>
            <w:vAlign w:val="center"/>
          </w:tcPr>
          <w:p w14:paraId="6F77B0F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度量单位</w:t>
            </w:r>
          </w:p>
        </w:tc>
        <w:tc>
          <w:tcPr>
            <w:tcW w:w="411" w:type="pct"/>
            <w:tcBorders>
              <w:top w:val="nil"/>
              <w:left w:val="nil"/>
              <w:bottom w:val="single" w:color="000000" w:sz="4" w:space="0"/>
              <w:right w:val="single" w:color="000000" w:sz="4" w:space="0"/>
            </w:tcBorders>
            <w:shd w:val="clear" w:color="auto" w:fill="auto"/>
            <w:vAlign w:val="center"/>
          </w:tcPr>
          <w:p w14:paraId="2FD8F83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完成值</w:t>
            </w:r>
          </w:p>
        </w:tc>
        <w:tc>
          <w:tcPr>
            <w:tcW w:w="235" w:type="pct"/>
            <w:tcBorders>
              <w:top w:val="nil"/>
              <w:left w:val="nil"/>
              <w:bottom w:val="single" w:color="000000" w:sz="4" w:space="0"/>
              <w:right w:val="single" w:color="000000" w:sz="4" w:space="0"/>
            </w:tcBorders>
            <w:shd w:val="clear" w:color="auto" w:fill="auto"/>
            <w:vAlign w:val="center"/>
          </w:tcPr>
          <w:p w14:paraId="77CE6E6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235" w:type="pct"/>
            <w:tcBorders>
              <w:top w:val="nil"/>
              <w:left w:val="nil"/>
              <w:bottom w:val="single" w:color="000000" w:sz="4" w:space="0"/>
              <w:right w:val="single" w:color="000000" w:sz="4" w:space="0"/>
            </w:tcBorders>
            <w:shd w:val="clear" w:color="auto" w:fill="auto"/>
            <w:vAlign w:val="center"/>
          </w:tcPr>
          <w:p w14:paraId="5FD6078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1041" w:type="pct"/>
            <w:tcBorders>
              <w:top w:val="nil"/>
              <w:left w:val="nil"/>
              <w:bottom w:val="single" w:color="000000" w:sz="4" w:space="0"/>
              <w:right w:val="single" w:color="000000" w:sz="4" w:space="0"/>
            </w:tcBorders>
            <w:shd w:val="clear" w:color="auto" w:fill="auto"/>
            <w:vAlign w:val="center"/>
          </w:tcPr>
          <w:p w14:paraId="7DA5B69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未完成原因分析</w:t>
            </w:r>
          </w:p>
        </w:tc>
      </w:tr>
      <w:tr w14:paraId="59AC6C38">
        <w:tblPrEx>
          <w:tblCellMar>
            <w:top w:w="0" w:type="dxa"/>
            <w:left w:w="108" w:type="dxa"/>
            <w:bottom w:w="0" w:type="dxa"/>
            <w:right w:w="108" w:type="dxa"/>
          </w:tblCellMar>
        </w:tblPrEx>
        <w:trPr>
          <w:trHeight w:val="241" w:hRule="atLeast"/>
        </w:trPr>
        <w:tc>
          <w:tcPr>
            <w:tcW w:w="572" w:type="pct"/>
            <w:vMerge w:val="continue"/>
            <w:tcBorders>
              <w:top w:val="nil"/>
              <w:left w:val="single" w:color="000000" w:sz="4" w:space="0"/>
              <w:bottom w:val="single" w:color="000000" w:sz="4" w:space="0"/>
              <w:right w:val="single" w:color="000000" w:sz="4" w:space="0"/>
            </w:tcBorders>
            <w:vAlign w:val="center"/>
          </w:tcPr>
          <w:p w14:paraId="56658F36">
            <w:pPr>
              <w:widowControl/>
              <w:jc w:val="left"/>
              <w:rPr>
                <w:rFonts w:ascii="宋体" w:hAnsi="宋体" w:eastAsia="宋体" w:cs="宋体"/>
                <w:color w:val="000000"/>
                <w:kern w:val="0"/>
                <w:sz w:val="18"/>
                <w:szCs w:val="18"/>
              </w:rPr>
            </w:pPr>
          </w:p>
        </w:tc>
        <w:tc>
          <w:tcPr>
            <w:tcW w:w="513" w:type="pct"/>
            <w:vMerge w:val="restart"/>
            <w:tcBorders>
              <w:top w:val="nil"/>
              <w:left w:val="single" w:color="000000" w:sz="4" w:space="0"/>
              <w:bottom w:val="single" w:color="000000" w:sz="4" w:space="0"/>
              <w:right w:val="single" w:color="000000" w:sz="4" w:space="0"/>
            </w:tcBorders>
            <w:shd w:val="clear" w:color="auto" w:fill="auto"/>
            <w:vAlign w:val="center"/>
          </w:tcPr>
          <w:p w14:paraId="5F6DFDC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w:t>
            </w:r>
          </w:p>
        </w:tc>
        <w:tc>
          <w:tcPr>
            <w:tcW w:w="430" w:type="pct"/>
            <w:tcBorders>
              <w:top w:val="nil"/>
              <w:left w:val="nil"/>
              <w:bottom w:val="single" w:color="000000" w:sz="4" w:space="0"/>
              <w:right w:val="single" w:color="000000" w:sz="4" w:space="0"/>
            </w:tcBorders>
            <w:shd w:val="clear" w:color="auto" w:fill="auto"/>
            <w:vAlign w:val="center"/>
          </w:tcPr>
          <w:p w14:paraId="3D0FD8C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tc>
        <w:tc>
          <w:tcPr>
            <w:tcW w:w="570" w:type="pct"/>
            <w:tcBorders>
              <w:top w:val="nil"/>
              <w:left w:val="nil"/>
              <w:bottom w:val="single" w:color="000000" w:sz="4" w:space="0"/>
              <w:right w:val="single" w:color="000000" w:sz="4" w:space="0"/>
            </w:tcBorders>
            <w:shd w:val="clear" w:color="auto" w:fill="auto"/>
            <w:vAlign w:val="center"/>
          </w:tcPr>
          <w:p w14:paraId="46B2499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购买智能交互平板</w:t>
            </w:r>
          </w:p>
        </w:tc>
        <w:tc>
          <w:tcPr>
            <w:tcW w:w="194" w:type="pct"/>
            <w:tcBorders>
              <w:top w:val="nil"/>
              <w:left w:val="nil"/>
              <w:bottom w:val="single" w:color="000000" w:sz="4" w:space="0"/>
              <w:right w:val="single" w:color="000000" w:sz="4" w:space="0"/>
            </w:tcBorders>
            <w:shd w:val="clear" w:color="auto" w:fill="auto"/>
            <w:vAlign w:val="center"/>
          </w:tcPr>
          <w:p w14:paraId="046F158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02" w:type="pct"/>
            <w:tcBorders>
              <w:top w:val="nil"/>
              <w:left w:val="nil"/>
              <w:bottom w:val="single" w:color="000000" w:sz="4" w:space="0"/>
              <w:right w:val="single" w:color="000000" w:sz="4" w:space="0"/>
            </w:tcBorders>
            <w:shd w:val="clear" w:color="auto" w:fill="auto"/>
            <w:vAlign w:val="center"/>
          </w:tcPr>
          <w:p w14:paraId="40FDE56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93" w:type="pct"/>
            <w:tcBorders>
              <w:top w:val="nil"/>
              <w:left w:val="nil"/>
              <w:bottom w:val="single" w:color="000000" w:sz="4" w:space="0"/>
              <w:right w:val="single" w:color="000000" w:sz="4" w:space="0"/>
            </w:tcBorders>
            <w:shd w:val="clear" w:color="auto" w:fill="auto"/>
            <w:vAlign w:val="center"/>
          </w:tcPr>
          <w:p w14:paraId="2480A05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411" w:type="pct"/>
            <w:tcBorders>
              <w:top w:val="nil"/>
              <w:left w:val="nil"/>
              <w:bottom w:val="single" w:color="000000" w:sz="4" w:space="0"/>
              <w:right w:val="single" w:color="000000" w:sz="4" w:space="0"/>
            </w:tcBorders>
            <w:shd w:val="clear" w:color="auto" w:fill="auto"/>
            <w:vAlign w:val="center"/>
          </w:tcPr>
          <w:p w14:paraId="2F03D55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18</w:t>
            </w:r>
          </w:p>
        </w:tc>
        <w:tc>
          <w:tcPr>
            <w:tcW w:w="235" w:type="pct"/>
            <w:tcBorders>
              <w:top w:val="nil"/>
              <w:left w:val="nil"/>
              <w:bottom w:val="single" w:color="000000" w:sz="4" w:space="0"/>
              <w:right w:val="single" w:color="000000" w:sz="4" w:space="0"/>
            </w:tcBorders>
            <w:shd w:val="clear" w:color="auto" w:fill="auto"/>
            <w:vAlign w:val="center"/>
          </w:tcPr>
          <w:p w14:paraId="264875F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235" w:type="pct"/>
            <w:tcBorders>
              <w:top w:val="nil"/>
              <w:left w:val="nil"/>
              <w:bottom w:val="single" w:color="000000" w:sz="4" w:space="0"/>
              <w:right w:val="single" w:color="000000" w:sz="4" w:space="0"/>
            </w:tcBorders>
            <w:shd w:val="clear" w:color="auto" w:fill="auto"/>
            <w:vAlign w:val="center"/>
          </w:tcPr>
          <w:p w14:paraId="6AB56CD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041" w:type="pct"/>
            <w:tcBorders>
              <w:top w:val="nil"/>
              <w:left w:val="nil"/>
              <w:bottom w:val="single" w:color="000000" w:sz="4" w:space="0"/>
              <w:right w:val="single" w:color="000000" w:sz="4" w:space="0"/>
            </w:tcBorders>
            <w:shd w:val="clear" w:color="auto" w:fill="auto"/>
            <w:vAlign w:val="center"/>
          </w:tcPr>
          <w:p w14:paraId="71CEDF1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1101575">
        <w:tblPrEx>
          <w:tblCellMar>
            <w:top w:w="0" w:type="dxa"/>
            <w:left w:w="108" w:type="dxa"/>
            <w:bottom w:w="0" w:type="dxa"/>
            <w:right w:w="108" w:type="dxa"/>
          </w:tblCellMar>
        </w:tblPrEx>
        <w:trPr>
          <w:trHeight w:val="706" w:hRule="atLeast"/>
        </w:trPr>
        <w:tc>
          <w:tcPr>
            <w:tcW w:w="572" w:type="pct"/>
            <w:vMerge w:val="continue"/>
            <w:tcBorders>
              <w:top w:val="nil"/>
              <w:left w:val="single" w:color="000000" w:sz="4" w:space="0"/>
              <w:bottom w:val="single" w:color="000000" w:sz="4" w:space="0"/>
              <w:right w:val="single" w:color="000000" w:sz="4" w:space="0"/>
            </w:tcBorders>
            <w:vAlign w:val="center"/>
          </w:tcPr>
          <w:p w14:paraId="3B791CDA">
            <w:pPr>
              <w:widowControl/>
              <w:jc w:val="left"/>
              <w:rPr>
                <w:rFonts w:ascii="宋体" w:hAnsi="宋体" w:eastAsia="宋体" w:cs="宋体"/>
                <w:color w:val="000000"/>
                <w:kern w:val="0"/>
                <w:sz w:val="18"/>
                <w:szCs w:val="18"/>
              </w:rPr>
            </w:pPr>
          </w:p>
        </w:tc>
        <w:tc>
          <w:tcPr>
            <w:tcW w:w="513" w:type="pct"/>
            <w:vMerge w:val="continue"/>
            <w:tcBorders>
              <w:top w:val="nil"/>
              <w:left w:val="single" w:color="000000" w:sz="4" w:space="0"/>
              <w:bottom w:val="single" w:color="000000" w:sz="4" w:space="0"/>
              <w:right w:val="single" w:color="000000" w:sz="4" w:space="0"/>
            </w:tcBorders>
            <w:vAlign w:val="center"/>
          </w:tcPr>
          <w:p w14:paraId="682D159C">
            <w:pPr>
              <w:widowControl/>
              <w:jc w:val="left"/>
              <w:rPr>
                <w:rFonts w:ascii="宋体" w:hAnsi="宋体" w:eastAsia="宋体" w:cs="宋体"/>
                <w:color w:val="000000"/>
                <w:kern w:val="0"/>
                <w:sz w:val="18"/>
                <w:szCs w:val="18"/>
              </w:rPr>
            </w:pPr>
          </w:p>
        </w:tc>
        <w:tc>
          <w:tcPr>
            <w:tcW w:w="430" w:type="pct"/>
            <w:tcBorders>
              <w:top w:val="nil"/>
              <w:left w:val="nil"/>
              <w:bottom w:val="single" w:color="000000" w:sz="4" w:space="0"/>
              <w:right w:val="single" w:color="000000" w:sz="4" w:space="0"/>
            </w:tcBorders>
            <w:shd w:val="clear" w:color="auto" w:fill="auto"/>
            <w:vAlign w:val="center"/>
          </w:tcPr>
          <w:p w14:paraId="490FC8D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570" w:type="pct"/>
            <w:tcBorders>
              <w:top w:val="nil"/>
              <w:left w:val="nil"/>
              <w:bottom w:val="single" w:color="000000" w:sz="4" w:space="0"/>
              <w:right w:val="single" w:color="000000" w:sz="4" w:space="0"/>
            </w:tcBorders>
            <w:shd w:val="clear" w:color="auto" w:fill="auto"/>
            <w:vAlign w:val="center"/>
          </w:tcPr>
          <w:p w14:paraId="5E5830B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提高教育教学质量，促进学院专业建设</w:t>
            </w:r>
          </w:p>
        </w:tc>
        <w:tc>
          <w:tcPr>
            <w:tcW w:w="194" w:type="pct"/>
            <w:tcBorders>
              <w:top w:val="nil"/>
              <w:left w:val="nil"/>
              <w:bottom w:val="single" w:color="000000" w:sz="4" w:space="0"/>
              <w:right w:val="single" w:color="000000" w:sz="4" w:space="0"/>
            </w:tcBorders>
            <w:shd w:val="clear" w:color="auto" w:fill="auto"/>
            <w:vAlign w:val="center"/>
          </w:tcPr>
          <w:p w14:paraId="3EC8D99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定性</w:t>
            </w:r>
          </w:p>
        </w:tc>
        <w:tc>
          <w:tcPr>
            <w:tcW w:w="402" w:type="pct"/>
            <w:tcBorders>
              <w:top w:val="nil"/>
              <w:left w:val="nil"/>
              <w:bottom w:val="single" w:color="000000" w:sz="4" w:space="0"/>
              <w:right w:val="single" w:color="000000" w:sz="4" w:space="0"/>
            </w:tcBorders>
            <w:shd w:val="clear" w:color="auto" w:fill="auto"/>
            <w:vAlign w:val="center"/>
          </w:tcPr>
          <w:p w14:paraId="23EBFBC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优良中低差</w:t>
            </w:r>
          </w:p>
        </w:tc>
        <w:tc>
          <w:tcPr>
            <w:tcW w:w="193" w:type="pct"/>
            <w:tcBorders>
              <w:top w:val="nil"/>
              <w:left w:val="nil"/>
              <w:bottom w:val="single" w:color="000000" w:sz="4" w:space="0"/>
              <w:right w:val="single" w:color="000000" w:sz="4" w:space="0"/>
            </w:tcBorders>
            <w:shd w:val="clear" w:color="auto" w:fill="auto"/>
            <w:vAlign w:val="center"/>
          </w:tcPr>
          <w:p w14:paraId="3634DA1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11" w:type="pct"/>
            <w:tcBorders>
              <w:top w:val="nil"/>
              <w:left w:val="nil"/>
              <w:bottom w:val="single" w:color="000000" w:sz="4" w:space="0"/>
              <w:right w:val="single" w:color="000000" w:sz="4" w:space="0"/>
            </w:tcBorders>
            <w:shd w:val="clear" w:color="auto" w:fill="auto"/>
            <w:vAlign w:val="center"/>
          </w:tcPr>
          <w:p w14:paraId="4BB2DD5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35" w:type="pct"/>
            <w:tcBorders>
              <w:top w:val="nil"/>
              <w:left w:val="nil"/>
              <w:bottom w:val="single" w:color="000000" w:sz="4" w:space="0"/>
              <w:right w:val="single" w:color="000000" w:sz="4" w:space="0"/>
            </w:tcBorders>
            <w:shd w:val="clear" w:color="auto" w:fill="auto"/>
            <w:vAlign w:val="center"/>
          </w:tcPr>
          <w:p w14:paraId="06452C9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235" w:type="pct"/>
            <w:tcBorders>
              <w:top w:val="nil"/>
              <w:left w:val="nil"/>
              <w:bottom w:val="single" w:color="000000" w:sz="4" w:space="0"/>
              <w:right w:val="single" w:color="000000" w:sz="4" w:space="0"/>
            </w:tcBorders>
            <w:shd w:val="clear" w:color="auto" w:fill="auto"/>
            <w:vAlign w:val="center"/>
          </w:tcPr>
          <w:p w14:paraId="2805674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041" w:type="pct"/>
            <w:tcBorders>
              <w:top w:val="nil"/>
              <w:left w:val="nil"/>
              <w:bottom w:val="single" w:color="000000" w:sz="4" w:space="0"/>
              <w:right w:val="single" w:color="000000" w:sz="4" w:space="0"/>
            </w:tcBorders>
            <w:shd w:val="clear" w:color="auto" w:fill="auto"/>
            <w:vAlign w:val="center"/>
          </w:tcPr>
          <w:p w14:paraId="1D16DAA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7E065B8">
        <w:tblPrEx>
          <w:tblCellMar>
            <w:top w:w="0" w:type="dxa"/>
            <w:left w:w="108" w:type="dxa"/>
            <w:bottom w:w="0" w:type="dxa"/>
            <w:right w:w="108" w:type="dxa"/>
          </w:tblCellMar>
        </w:tblPrEx>
        <w:trPr>
          <w:trHeight w:val="241" w:hRule="atLeast"/>
        </w:trPr>
        <w:tc>
          <w:tcPr>
            <w:tcW w:w="572" w:type="pct"/>
            <w:vMerge w:val="continue"/>
            <w:tcBorders>
              <w:top w:val="nil"/>
              <w:left w:val="single" w:color="000000" w:sz="4" w:space="0"/>
              <w:bottom w:val="single" w:color="000000" w:sz="4" w:space="0"/>
              <w:right w:val="single" w:color="000000" w:sz="4" w:space="0"/>
            </w:tcBorders>
            <w:vAlign w:val="center"/>
          </w:tcPr>
          <w:p w14:paraId="3E14C375">
            <w:pPr>
              <w:widowControl/>
              <w:jc w:val="left"/>
              <w:rPr>
                <w:rFonts w:ascii="宋体" w:hAnsi="宋体" w:eastAsia="宋体" w:cs="宋体"/>
                <w:color w:val="000000"/>
                <w:kern w:val="0"/>
                <w:sz w:val="18"/>
                <w:szCs w:val="18"/>
              </w:rPr>
            </w:pPr>
          </w:p>
        </w:tc>
        <w:tc>
          <w:tcPr>
            <w:tcW w:w="513" w:type="pct"/>
            <w:tcBorders>
              <w:top w:val="nil"/>
              <w:left w:val="nil"/>
              <w:bottom w:val="single" w:color="000000" w:sz="4" w:space="0"/>
              <w:right w:val="single" w:color="000000" w:sz="4" w:space="0"/>
            </w:tcBorders>
            <w:shd w:val="clear" w:color="auto" w:fill="auto"/>
            <w:vAlign w:val="center"/>
          </w:tcPr>
          <w:p w14:paraId="57BD594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效益指标</w:t>
            </w:r>
          </w:p>
        </w:tc>
        <w:tc>
          <w:tcPr>
            <w:tcW w:w="430" w:type="pct"/>
            <w:tcBorders>
              <w:top w:val="nil"/>
              <w:left w:val="nil"/>
              <w:bottom w:val="single" w:color="000000" w:sz="4" w:space="0"/>
              <w:right w:val="single" w:color="000000" w:sz="4" w:space="0"/>
            </w:tcBorders>
            <w:shd w:val="clear" w:color="auto" w:fill="auto"/>
            <w:vAlign w:val="center"/>
          </w:tcPr>
          <w:p w14:paraId="6040ECD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社会效益指标</w:t>
            </w:r>
          </w:p>
        </w:tc>
        <w:tc>
          <w:tcPr>
            <w:tcW w:w="570" w:type="pct"/>
            <w:tcBorders>
              <w:top w:val="nil"/>
              <w:left w:val="nil"/>
              <w:bottom w:val="single" w:color="000000" w:sz="4" w:space="0"/>
              <w:right w:val="single" w:color="000000" w:sz="4" w:space="0"/>
            </w:tcBorders>
            <w:shd w:val="clear" w:color="auto" w:fill="auto"/>
            <w:vAlign w:val="center"/>
          </w:tcPr>
          <w:p w14:paraId="248646A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提高学生就业率</w:t>
            </w:r>
          </w:p>
        </w:tc>
        <w:tc>
          <w:tcPr>
            <w:tcW w:w="194" w:type="pct"/>
            <w:tcBorders>
              <w:top w:val="nil"/>
              <w:left w:val="nil"/>
              <w:bottom w:val="single" w:color="000000" w:sz="4" w:space="0"/>
              <w:right w:val="single" w:color="000000" w:sz="4" w:space="0"/>
            </w:tcBorders>
            <w:shd w:val="clear" w:color="auto" w:fill="auto"/>
            <w:vAlign w:val="center"/>
          </w:tcPr>
          <w:p w14:paraId="0DDDECD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02" w:type="pct"/>
            <w:tcBorders>
              <w:top w:val="nil"/>
              <w:left w:val="nil"/>
              <w:bottom w:val="single" w:color="000000" w:sz="4" w:space="0"/>
              <w:right w:val="single" w:color="000000" w:sz="4" w:space="0"/>
            </w:tcBorders>
            <w:shd w:val="clear" w:color="auto" w:fill="auto"/>
            <w:vAlign w:val="center"/>
          </w:tcPr>
          <w:p w14:paraId="088EA08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92</w:t>
            </w:r>
          </w:p>
        </w:tc>
        <w:tc>
          <w:tcPr>
            <w:tcW w:w="193" w:type="pct"/>
            <w:tcBorders>
              <w:top w:val="nil"/>
              <w:left w:val="nil"/>
              <w:bottom w:val="single" w:color="000000" w:sz="4" w:space="0"/>
              <w:right w:val="single" w:color="000000" w:sz="4" w:space="0"/>
            </w:tcBorders>
            <w:shd w:val="clear" w:color="auto" w:fill="auto"/>
            <w:vAlign w:val="center"/>
          </w:tcPr>
          <w:p w14:paraId="40773F0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11" w:type="pct"/>
            <w:tcBorders>
              <w:top w:val="nil"/>
              <w:left w:val="nil"/>
              <w:bottom w:val="single" w:color="000000" w:sz="4" w:space="0"/>
              <w:right w:val="single" w:color="000000" w:sz="4" w:space="0"/>
            </w:tcBorders>
            <w:shd w:val="clear" w:color="auto" w:fill="auto"/>
            <w:vAlign w:val="center"/>
          </w:tcPr>
          <w:p w14:paraId="7AB2FF8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92</w:t>
            </w:r>
          </w:p>
        </w:tc>
        <w:tc>
          <w:tcPr>
            <w:tcW w:w="235" w:type="pct"/>
            <w:tcBorders>
              <w:top w:val="nil"/>
              <w:left w:val="nil"/>
              <w:bottom w:val="single" w:color="000000" w:sz="4" w:space="0"/>
              <w:right w:val="single" w:color="000000" w:sz="4" w:space="0"/>
            </w:tcBorders>
            <w:shd w:val="clear" w:color="auto" w:fill="auto"/>
            <w:vAlign w:val="center"/>
          </w:tcPr>
          <w:p w14:paraId="5113581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235" w:type="pct"/>
            <w:tcBorders>
              <w:top w:val="nil"/>
              <w:left w:val="nil"/>
              <w:bottom w:val="single" w:color="000000" w:sz="4" w:space="0"/>
              <w:right w:val="single" w:color="000000" w:sz="4" w:space="0"/>
            </w:tcBorders>
            <w:shd w:val="clear" w:color="auto" w:fill="auto"/>
            <w:vAlign w:val="center"/>
          </w:tcPr>
          <w:p w14:paraId="72726C0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041" w:type="pct"/>
            <w:tcBorders>
              <w:top w:val="nil"/>
              <w:left w:val="nil"/>
              <w:bottom w:val="single" w:color="000000" w:sz="4" w:space="0"/>
              <w:right w:val="single" w:color="000000" w:sz="4" w:space="0"/>
            </w:tcBorders>
            <w:shd w:val="clear" w:color="auto" w:fill="auto"/>
            <w:vAlign w:val="center"/>
          </w:tcPr>
          <w:p w14:paraId="62DA4E4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89A7C09">
        <w:tblPrEx>
          <w:tblCellMar>
            <w:top w:w="0" w:type="dxa"/>
            <w:left w:w="108" w:type="dxa"/>
            <w:bottom w:w="0" w:type="dxa"/>
            <w:right w:w="108" w:type="dxa"/>
          </w:tblCellMar>
        </w:tblPrEx>
        <w:trPr>
          <w:trHeight w:val="241" w:hRule="atLeast"/>
        </w:trPr>
        <w:tc>
          <w:tcPr>
            <w:tcW w:w="572" w:type="pct"/>
            <w:vMerge w:val="continue"/>
            <w:tcBorders>
              <w:top w:val="nil"/>
              <w:left w:val="single" w:color="000000" w:sz="4" w:space="0"/>
              <w:bottom w:val="single" w:color="000000" w:sz="4" w:space="0"/>
              <w:right w:val="single" w:color="000000" w:sz="4" w:space="0"/>
            </w:tcBorders>
            <w:vAlign w:val="center"/>
          </w:tcPr>
          <w:p w14:paraId="3A01CABE">
            <w:pPr>
              <w:widowControl/>
              <w:jc w:val="left"/>
              <w:rPr>
                <w:rFonts w:ascii="宋体" w:hAnsi="宋体" w:eastAsia="宋体" w:cs="宋体"/>
                <w:color w:val="000000"/>
                <w:kern w:val="0"/>
                <w:sz w:val="18"/>
                <w:szCs w:val="18"/>
              </w:rPr>
            </w:pPr>
          </w:p>
        </w:tc>
        <w:tc>
          <w:tcPr>
            <w:tcW w:w="513" w:type="pct"/>
            <w:tcBorders>
              <w:top w:val="nil"/>
              <w:left w:val="nil"/>
              <w:bottom w:val="single" w:color="000000" w:sz="4" w:space="0"/>
              <w:right w:val="single" w:color="000000" w:sz="4" w:space="0"/>
            </w:tcBorders>
            <w:shd w:val="clear" w:color="auto" w:fill="auto"/>
            <w:vAlign w:val="center"/>
          </w:tcPr>
          <w:p w14:paraId="7633DDB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430" w:type="pct"/>
            <w:tcBorders>
              <w:top w:val="nil"/>
              <w:left w:val="nil"/>
              <w:bottom w:val="single" w:color="000000" w:sz="4" w:space="0"/>
              <w:right w:val="single" w:color="000000" w:sz="4" w:space="0"/>
            </w:tcBorders>
            <w:shd w:val="clear" w:color="auto" w:fill="auto"/>
            <w:vAlign w:val="center"/>
          </w:tcPr>
          <w:p w14:paraId="0B859B6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570" w:type="pct"/>
            <w:tcBorders>
              <w:top w:val="nil"/>
              <w:left w:val="nil"/>
              <w:bottom w:val="single" w:color="000000" w:sz="4" w:space="0"/>
              <w:right w:val="single" w:color="000000" w:sz="4" w:space="0"/>
            </w:tcBorders>
            <w:shd w:val="clear" w:color="auto" w:fill="auto"/>
            <w:vAlign w:val="center"/>
          </w:tcPr>
          <w:p w14:paraId="03010F6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学生及教师满意度</w:t>
            </w:r>
          </w:p>
        </w:tc>
        <w:tc>
          <w:tcPr>
            <w:tcW w:w="194" w:type="pct"/>
            <w:tcBorders>
              <w:top w:val="nil"/>
              <w:left w:val="nil"/>
              <w:bottom w:val="single" w:color="000000" w:sz="4" w:space="0"/>
              <w:right w:val="single" w:color="000000" w:sz="4" w:space="0"/>
            </w:tcBorders>
            <w:shd w:val="clear" w:color="auto" w:fill="auto"/>
            <w:vAlign w:val="center"/>
          </w:tcPr>
          <w:p w14:paraId="61F6B28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02" w:type="pct"/>
            <w:tcBorders>
              <w:top w:val="nil"/>
              <w:left w:val="nil"/>
              <w:bottom w:val="single" w:color="000000" w:sz="4" w:space="0"/>
              <w:right w:val="single" w:color="000000" w:sz="4" w:space="0"/>
            </w:tcBorders>
            <w:shd w:val="clear" w:color="auto" w:fill="auto"/>
            <w:vAlign w:val="center"/>
          </w:tcPr>
          <w:p w14:paraId="7F70186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95</w:t>
            </w:r>
          </w:p>
        </w:tc>
        <w:tc>
          <w:tcPr>
            <w:tcW w:w="193" w:type="pct"/>
            <w:tcBorders>
              <w:top w:val="nil"/>
              <w:left w:val="nil"/>
              <w:bottom w:val="single" w:color="000000" w:sz="4" w:space="0"/>
              <w:right w:val="single" w:color="000000" w:sz="4" w:space="0"/>
            </w:tcBorders>
            <w:shd w:val="clear" w:color="auto" w:fill="auto"/>
            <w:vAlign w:val="center"/>
          </w:tcPr>
          <w:p w14:paraId="076425F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11" w:type="pct"/>
            <w:tcBorders>
              <w:top w:val="nil"/>
              <w:left w:val="nil"/>
              <w:bottom w:val="single" w:color="000000" w:sz="4" w:space="0"/>
              <w:right w:val="single" w:color="000000" w:sz="4" w:space="0"/>
            </w:tcBorders>
            <w:shd w:val="clear" w:color="auto" w:fill="auto"/>
            <w:vAlign w:val="center"/>
          </w:tcPr>
          <w:p w14:paraId="2429898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95</w:t>
            </w:r>
          </w:p>
        </w:tc>
        <w:tc>
          <w:tcPr>
            <w:tcW w:w="235" w:type="pct"/>
            <w:tcBorders>
              <w:top w:val="nil"/>
              <w:left w:val="nil"/>
              <w:bottom w:val="single" w:color="000000" w:sz="4" w:space="0"/>
              <w:right w:val="single" w:color="000000" w:sz="4" w:space="0"/>
            </w:tcBorders>
            <w:shd w:val="clear" w:color="auto" w:fill="auto"/>
            <w:vAlign w:val="center"/>
          </w:tcPr>
          <w:p w14:paraId="3F9FEBC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235" w:type="pct"/>
            <w:tcBorders>
              <w:top w:val="nil"/>
              <w:left w:val="nil"/>
              <w:bottom w:val="single" w:color="000000" w:sz="4" w:space="0"/>
              <w:right w:val="single" w:color="000000" w:sz="4" w:space="0"/>
            </w:tcBorders>
            <w:shd w:val="clear" w:color="auto" w:fill="auto"/>
            <w:vAlign w:val="center"/>
          </w:tcPr>
          <w:p w14:paraId="0DE7E53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041" w:type="pct"/>
            <w:tcBorders>
              <w:top w:val="nil"/>
              <w:left w:val="nil"/>
              <w:bottom w:val="single" w:color="000000" w:sz="4" w:space="0"/>
              <w:right w:val="single" w:color="000000" w:sz="4" w:space="0"/>
            </w:tcBorders>
            <w:shd w:val="clear" w:color="auto" w:fill="auto"/>
            <w:vAlign w:val="center"/>
          </w:tcPr>
          <w:p w14:paraId="55E02E0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997D3E5">
        <w:tblPrEx>
          <w:tblCellMar>
            <w:top w:w="0" w:type="dxa"/>
            <w:left w:w="108" w:type="dxa"/>
            <w:bottom w:w="0" w:type="dxa"/>
            <w:right w:w="108" w:type="dxa"/>
          </w:tblCellMar>
        </w:tblPrEx>
        <w:trPr>
          <w:trHeight w:val="203" w:hRule="atLeast"/>
        </w:trPr>
        <w:tc>
          <w:tcPr>
            <w:tcW w:w="328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2DAED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235" w:type="pct"/>
            <w:tcBorders>
              <w:top w:val="nil"/>
              <w:left w:val="nil"/>
              <w:bottom w:val="single" w:color="000000" w:sz="4" w:space="0"/>
              <w:right w:val="single" w:color="000000" w:sz="4" w:space="0"/>
            </w:tcBorders>
            <w:shd w:val="clear" w:color="auto" w:fill="auto"/>
            <w:vAlign w:val="center"/>
          </w:tcPr>
          <w:p w14:paraId="4D09469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235" w:type="pct"/>
            <w:tcBorders>
              <w:top w:val="nil"/>
              <w:left w:val="nil"/>
              <w:bottom w:val="single" w:color="000000" w:sz="4" w:space="0"/>
              <w:right w:val="single" w:color="000000" w:sz="4" w:space="0"/>
            </w:tcBorders>
            <w:shd w:val="clear" w:color="auto" w:fill="auto"/>
            <w:vAlign w:val="center"/>
          </w:tcPr>
          <w:p w14:paraId="319FD70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1041" w:type="pct"/>
            <w:tcBorders>
              <w:top w:val="nil"/>
              <w:left w:val="nil"/>
              <w:bottom w:val="single" w:color="000000" w:sz="4" w:space="0"/>
              <w:right w:val="single" w:color="000000" w:sz="4" w:space="0"/>
            </w:tcBorders>
            <w:shd w:val="clear" w:color="auto" w:fill="auto"/>
            <w:vAlign w:val="center"/>
          </w:tcPr>
          <w:p w14:paraId="0A9619F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ABEF4B5">
        <w:tblPrEx>
          <w:tblCellMar>
            <w:top w:w="0" w:type="dxa"/>
            <w:left w:w="108" w:type="dxa"/>
            <w:bottom w:w="0" w:type="dxa"/>
            <w:right w:w="108" w:type="dxa"/>
          </w:tblCellMar>
        </w:tblPrEx>
        <w:trPr>
          <w:trHeight w:val="430" w:hRule="atLeast"/>
        </w:trPr>
        <w:tc>
          <w:tcPr>
            <w:tcW w:w="572" w:type="pct"/>
            <w:tcBorders>
              <w:top w:val="nil"/>
              <w:left w:val="single" w:color="000000" w:sz="4" w:space="0"/>
              <w:bottom w:val="single" w:color="000000" w:sz="4" w:space="0"/>
              <w:right w:val="single" w:color="000000" w:sz="4" w:space="0"/>
            </w:tcBorders>
            <w:shd w:val="clear" w:color="auto" w:fill="auto"/>
            <w:vAlign w:val="center"/>
          </w:tcPr>
          <w:p w14:paraId="05A99D0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评价结论</w:t>
            </w:r>
          </w:p>
        </w:tc>
        <w:tc>
          <w:tcPr>
            <w:tcW w:w="4223" w:type="pct"/>
            <w:gridSpan w:val="10"/>
            <w:tcBorders>
              <w:top w:val="single" w:color="000000" w:sz="4" w:space="0"/>
              <w:left w:val="nil"/>
              <w:bottom w:val="single" w:color="000000" w:sz="4" w:space="0"/>
              <w:right w:val="single" w:color="000000" w:sz="4" w:space="0"/>
            </w:tcBorders>
            <w:shd w:val="clear" w:color="auto" w:fill="auto"/>
            <w:vAlign w:val="center"/>
          </w:tcPr>
          <w:p w14:paraId="49ACB57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购买18台智能交互平板（触控一体机），用于教学，使教学更加舒适和顺畅，提高了教育教学质量。</w:t>
            </w:r>
          </w:p>
        </w:tc>
      </w:tr>
      <w:tr w14:paraId="05EA3D13">
        <w:tblPrEx>
          <w:tblCellMar>
            <w:top w:w="0" w:type="dxa"/>
            <w:left w:w="108" w:type="dxa"/>
            <w:bottom w:w="0" w:type="dxa"/>
            <w:right w:w="108" w:type="dxa"/>
          </w:tblCellMar>
        </w:tblPrEx>
        <w:trPr>
          <w:trHeight w:val="359" w:hRule="atLeast"/>
        </w:trPr>
        <w:tc>
          <w:tcPr>
            <w:tcW w:w="572" w:type="pct"/>
            <w:tcBorders>
              <w:top w:val="nil"/>
              <w:left w:val="single" w:color="000000" w:sz="4" w:space="0"/>
              <w:bottom w:val="single" w:color="000000" w:sz="4" w:space="0"/>
              <w:right w:val="single" w:color="000000" w:sz="4" w:space="0"/>
            </w:tcBorders>
            <w:shd w:val="clear" w:color="auto" w:fill="auto"/>
            <w:vAlign w:val="center"/>
          </w:tcPr>
          <w:p w14:paraId="61A0433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存在问题</w:t>
            </w:r>
          </w:p>
        </w:tc>
        <w:tc>
          <w:tcPr>
            <w:tcW w:w="4223" w:type="pct"/>
            <w:gridSpan w:val="10"/>
            <w:tcBorders>
              <w:top w:val="single" w:color="000000" w:sz="4" w:space="0"/>
              <w:left w:val="nil"/>
              <w:bottom w:val="single" w:color="000000" w:sz="4" w:space="0"/>
              <w:right w:val="single" w:color="000000" w:sz="4" w:space="0"/>
            </w:tcBorders>
            <w:shd w:val="clear" w:color="auto" w:fill="auto"/>
            <w:vAlign w:val="center"/>
          </w:tcPr>
          <w:p w14:paraId="41A1E88D">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7092C755">
        <w:tblPrEx>
          <w:tblCellMar>
            <w:top w:w="0" w:type="dxa"/>
            <w:left w:w="108" w:type="dxa"/>
            <w:bottom w:w="0" w:type="dxa"/>
            <w:right w:w="108" w:type="dxa"/>
          </w:tblCellMar>
        </w:tblPrEx>
        <w:trPr>
          <w:trHeight w:val="195" w:hRule="atLeast"/>
        </w:trPr>
        <w:tc>
          <w:tcPr>
            <w:tcW w:w="572" w:type="pct"/>
            <w:tcBorders>
              <w:top w:val="nil"/>
              <w:left w:val="single" w:color="000000" w:sz="4" w:space="0"/>
              <w:bottom w:val="single" w:color="000000" w:sz="4" w:space="0"/>
              <w:right w:val="single" w:color="000000" w:sz="4" w:space="0"/>
            </w:tcBorders>
            <w:shd w:val="clear" w:color="auto" w:fill="auto"/>
            <w:vAlign w:val="center"/>
          </w:tcPr>
          <w:p w14:paraId="6BFCC94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改进措施</w:t>
            </w:r>
          </w:p>
        </w:tc>
        <w:tc>
          <w:tcPr>
            <w:tcW w:w="4223" w:type="pct"/>
            <w:gridSpan w:val="10"/>
            <w:tcBorders>
              <w:top w:val="single" w:color="000000" w:sz="4" w:space="0"/>
              <w:left w:val="nil"/>
              <w:bottom w:val="single" w:color="000000" w:sz="4" w:space="0"/>
              <w:right w:val="single" w:color="000000" w:sz="4" w:space="0"/>
            </w:tcBorders>
            <w:shd w:val="clear" w:color="auto" w:fill="auto"/>
            <w:vAlign w:val="center"/>
          </w:tcPr>
          <w:p w14:paraId="5B5DEA10">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495E5A92">
        <w:tblPrEx>
          <w:tblCellMar>
            <w:top w:w="0" w:type="dxa"/>
            <w:left w:w="108" w:type="dxa"/>
            <w:bottom w:w="0" w:type="dxa"/>
            <w:right w:w="108" w:type="dxa"/>
          </w:tblCellMar>
        </w:tblPrEx>
        <w:trPr>
          <w:trHeight w:val="203" w:hRule="atLeast"/>
        </w:trPr>
        <w:tc>
          <w:tcPr>
            <w:tcW w:w="22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4F31A1">
            <w:pPr>
              <w:widowControl/>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项目负责人：李秀英</w:t>
            </w:r>
          </w:p>
        </w:tc>
        <w:tc>
          <w:tcPr>
            <w:tcW w:w="2517" w:type="pct"/>
            <w:gridSpan w:val="6"/>
            <w:tcBorders>
              <w:top w:val="single" w:color="000000" w:sz="4" w:space="0"/>
              <w:left w:val="nil"/>
              <w:bottom w:val="single" w:color="000000" w:sz="4" w:space="0"/>
              <w:right w:val="single" w:color="000000" w:sz="4" w:space="0"/>
            </w:tcBorders>
            <w:shd w:val="clear" w:color="auto" w:fill="auto"/>
            <w:vAlign w:val="center"/>
          </w:tcPr>
          <w:p w14:paraId="15EDF412">
            <w:pPr>
              <w:widowControl/>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财务负责人：张玲</w:t>
            </w:r>
          </w:p>
        </w:tc>
      </w:tr>
    </w:tbl>
    <w:tbl>
      <w:tblPr>
        <w:tblStyle w:val="13"/>
        <w:tblpPr w:leftFromText="180" w:rightFromText="180" w:vertAnchor="text" w:horzAnchor="margin" w:tblpXSpec="center" w:tblpY="1"/>
        <w:tblW w:w="6072" w:type="pct"/>
        <w:tblInd w:w="0" w:type="dxa"/>
        <w:tblLayout w:type="autofit"/>
        <w:tblCellMar>
          <w:top w:w="0" w:type="dxa"/>
          <w:left w:w="108" w:type="dxa"/>
          <w:bottom w:w="0" w:type="dxa"/>
          <w:right w:w="108" w:type="dxa"/>
        </w:tblCellMar>
      </w:tblPr>
      <w:tblGrid>
        <w:gridCol w:w="1459"/>
        <w:gridCol w:w="1060"/>
        <w:gridCol w:w="890"/>
        <w:gridCol w:w="1190"/>
        <w:gridCol w:w="396"/>
        <w:gridCol w:w="836"/>
        <w:gridCol w:w="402"/>
        <w:gridCol w:w="849"/>
        <w:gridCol w:w="486"/>
        <w:gridCol w:w="486"/>
        <w:gridCol w:w="2295"/>
      </w:tblGrid>
      <w:tr w14:paraId="152A25A6">
        <w:tblPrEx>
          <w:tblCellMar>
            <w:top w:w="0" w:type="dxa"/>
            <w:left w:w="108" w:type="dxa"/>
            <w:bottom w:w="0" w:type="dxa"/>
            <w:right w:w="108" w:type="dxa"/>
          </w:tblCellMar>
        </w:tblPrEx>
        <w:trPr>
          <w:trHeight w:val="69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051A00">
            <w:pPr>
              <w:widowControl/>
              <w:jc w:val="center"/>
              <w:rPr>
                <w:rFonts w:ascii="黑体" w:hAnsi="黑体" w:eastAsia="黑体" w:cs="宋体"/>
                <w:b/>
                <w:bCs/>
                <w:color w:val="000000"/>
                <w:kern w:val="0"/>
                <w:sz w:val="30"/>
                <w:szCs w:val="30"/>
              </w:rPr>
            </w:pPr>
            <w:bookmarkStart w:id="64" w:name="_Toc3613"/>
            <w:bookmarkStart w:id="65" w:name="_Toc15396618"/>
            <w:r>
              <w:rPr>
                <w:rFonts w:hint="eastAsia" w:ascii="黑体" w:hAnsi="黑体" w:eastAsia="黑体" w:cs="宋体"/>
                <w:b/>
                <w:bCs/>
                <w:color w:val="000000"/>
                <w:kern w:val="0"/>
                <w:sz w:val="30"/>
                <w:szCs w:val="30"/>
              </w:rPr>
              <w:t>部门预算项目支出绩效自评表（2023年度）</w:t>
            </w:r>
          </w:p>
        </w:tc>
      </w:tr>
      <w:tr w14:paraId="237FC9D8">
        <w:tblPrEx>
          <w:tblCellMar>
            <w:top w:w="0" w:type="dxa"/>
            <w:left w:w="108" w:type="dxa"/>
            <w:bottom w:w="0" w:type="dxa"/>
            <w:right w:w="108" w:type="dxa"/>
          </w:tblCellMar>
        </w:tblPrEx>
        <w:trPr>
          <w:trHeight w:val="285" w:hRule="atLeast"/>
        </w:trPr>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F428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378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AD419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51030022T000000393364-市教体局－校企合作专项资金（市级教育专项）</w:t>
            </w:r>
          </w:p>
        </w:tc>
      </w:tr>
      <w:tr w14:paraId="4E3E6BA9">
        <w:tblPrEx>
          <w:tblCellMar>
            <w:top w:w="0" w:type="dxa"/>
            <w:left w:w="108" w:type="dxa"/>
            <w:bottom w:w="0" w:type="dxa"/>
            <w:right w:w="108" w:type="dxa"/>
          </w:tblCellMar>
        </w:tblPrEx>
        <w:trPr>
          <w:trHeight w:val="514" w:hRule="atLeast"/>
        </w:trPr>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7BBD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主管部门</w:t>
            </w:r>
          </w:p>
        </w:tc>
        <w:tc>
          <w:tcPr>
            <w:tcW w:w="179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25F52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自贡市人力资源和社会保障局部门</w:t>
            </w:r>
          </w:p>
        </w:tc>
        <w:tc>
          <w:tcPr>
            <w:tcW w:w="409" w:type="pct"/>
            <w:tcBorders>
              <w:top w:val="nil"/>
              <w:left w:val="nil"/>
              <w:bottom w:val="nil"/>
              <w:right w:val="nil"/>
            </w:tcBorders>
            <w:shd w:val="clear" w:color="auto" w:fill="auto"/>
            <w:vAlign w:val="center"/>
          </w:tcPr>
          <w:p w14:paraId="22FD92FA">
            <w:pPr>
              <w:widowControl/>
              <w:jc w:val="left"/>
              <w:rPr>
                <w:rFonts w:hint="eastAsia" w:ascii="黑体" w:hAnsi="黑体" w:eastAsia="宋体" w:cs="宋体"/>
                <w:color w:val="000000"/>
                <w:kern w:val="0"/>
                <w:sz w:val="18"/>
                <w:szCs w:val="18"/>
              </w:rPr>
            </w:pPr>
            <w:r>
              <w:rPr>
                <w:rFonts w:ascii="黑体" w:hAnsi="黑体" w:eastAsia="宋体" w:cs="宋体"/>
                <w:color w:val="000000"/>
                <w:kern w:val="0"/>
                <w:sz w:val="18"/>
                <w:szCs w:val="18"/>
              </w:rPr>
              <w:t>实施单位 （盖章）</w:t>
            </w:r>
          </w:p>
        </w:tc>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72BB3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自贡市职业培训学院</w:t>
            </w:r>
          </w:p>
        </w:tc>
      </w:tr>
      <w:tr w14:paraId="39740D30">
        <w:tblPrEx>
          <w:tblCellMar>
            <w:top w:w="0" w:type="dxa"/>
            <w:left w:w="108" w:type="dxa"/>
            <w:bottom w:w="0" w:type="dxa"/>
            <w:right w:w="108" w:type="dxa"/>
          </w:tblCellMar>
        </w:tblPrEx>
        <w:trPr>
          <w:trHeight w:val="285" w:hRule="atLeast"/>
        </w:trPr>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7147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项目基本情况</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2A42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1.项目年度目标完成情况</w:t>
            </w:r>
          </w:p>
        </w:tc>
        <w:tc>
          <w:tcPr>
            <w:tcW w:w="179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80981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项目年度目标</w:t>
            </w:r>
          </w:p>
        </w:tc>
        <w:tc>
          <w:tcPr>
            <w:tcW w:w="19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87156E">
            <w:pPr>
              <w:widowControl/>
              <w:jc w:val="center"/>
              <w:rPr>
                <w:rFonts w:hint="eastAsia" w:ascii="黑体" w:hAnsi="黑体" w:eastAsia="宋体" w:cs="宋体"/>
                <w:color w:val="000000"/>
                <w:kern w:val="0"/>
                <w:sz w:val="18"/>
                <w:szCs w:val="18"/>
              </w:rPr>
            </w:pPr>
            <w:r>
              <w:rPr>
                <w:rFonts w:ascii="黑体" w:hAnsi="黑体" w:eastAsia="宋体" w:cs="宋体"/>
                <w:color w:val="000000"/>
                <w:kern w:val="0"/>
                <w:sz w:val="18"/>
                <w:szCs w:val="18"/>
              </w:rPr>
              <w:t>年度目标完成情况</w:t>
            </w:r>
          </w:p>
        </w:tc>
      </w:tr>
      <w:tr w14:paraId="4E7D0915">
        <w:tblPrEx>
          <w:tblCellMar>
            <w:top w:w="0" w:type="dxa"/>
            <w:left w:w="108" w:type="dxa"/>
            <w:bottom w:w="0" w:type="dxa"/>
            <w:right w:w="108" w:type="dxa"/>
          </w:tblCellMar>
        </w:tblPrEx>
        <w:trPr>
          <w:trHeight w:val="709" w:hRule="atLeast"/>
        </w:trPr>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5AADAF48">
            <w:pPr>
              <w:widowControl/>
              <w:jc w:val="left"/>
              <w:rPr>
                <w:rFonts w:ascii="宋体" w:hAnsi="宋体" w:eastAsia="宋体" w:cs="宋体"/>
                <w:color w:val="000000"/>
                <w:kern w:val="0"/>
                <w:sz w:val="18"/>
                <w:szCs w:val="18"/>
              </w:rPr>
            </w:pPr>
          </w:p>
        </w:tc>
        <w:tc>
          <w:tcPr>
            <w:tcW w:w="512" w:type="pct"/>
            <w:vMerge w:val="continue"/>
            <w:tcBorders>
              <w:top w:val="single" w:color="000000" w:sz="4" w:space="0"/>
              <w:left w:val="single" w:color="000000" w:sz="4" w:space="0"/>
              <w:bottom w:val="single" w:color="000000" w:sz="4" w:space="0"/>
              <w:right w:val="single" w:color="000000" w:sz="4" w:space="0"/>
            </w:tcBorders>
            <w:vAlign w:val="center"/>
          </w:tcPr>
          <w:p w14:paraId="0F326C09">
            <w:pPr>
              <w:widowControl/>
              <w:jc w:val="left"/>
              <w:rPr>
                <w:rFonts w:ascii="宋体" w:hAnsi="宋体" w:eastAsia="宋体" w:cs="宋体"/>
                <w:color w:val="000000"/>
                <w:kern w:val="0"/>
                <w:sz w:val="18"/>
                <w:szCs w:val="18"/>
              </w:rPr>
            </w:pPr>
          </w:p>
        </w:tc>
        <w:tc>
          <w:tcPr>
            <w:tcW w:w="179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FD351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本项目资金用于外聘专业技术教师工资，提高教育教学质量，促进办学水平提升。</w:t>
            </w:r>
          </w:p>
        </w:tc>
        <w:tc>
          <w:tcPr>
            <w:tcW w:w="19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4A1718">
            <w:pPr>
              <w:widowControl/>
              <w:jc w:val="left"/>
              <w:rPr>
                <w:rFonts w:hint="eastAsia" w:ascii="黑体" w:hAnsi="黑体" w:eastAsia="宋体" w:cs="宋体"/>
                <w:color w:val="000000"/>
                <w:kern w:val="0"/>
                <w:sz w:val="18"/>
                <w:szCs w:val="18"/>
              </w:rPr>
            </w:pPr>
            <w:r>
              <w:rPr>
                <w:rFonts w:ascii="黑体" w:hAnsi="黑体" w:eastAsia="宋体" w:cs="宋体"/>
                <w:color w:val="000000"/>
                <w:kern w:val="0"/>
                <w:sz w:val="18"/>
                <w:szCs w:val="18"/>
              </w:rPr>
              <w:t>聘用人员7人，严格按预算资金及用途执行。</w:t>
            </w:r>
          </w:p>
        </w:tc>
      </w:tr>
      <w:tr w14:paraId="3164BAD0">
        <w:tblPrEx>
          <w:tblCellMar>
            <w:top w:w="0" w:type="dxa"/>
            <w:left w:w="108" w:type="dxa"/>
            <w:bottom w:w="0" w:type="dxa"/>
            <w:right w:w="108" w:type="dxa"/>
          </w:tblCellMar>
        </w:tblPrEx>
        <w:trPr>
          <w:trHeight w:val="694" w:hRule="atLeast"/>
        </w:trPr>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263BE2A7">
            <w:pPr>
              <w:widowControl/>
              <w:jc w:val="left"/>
              <w:rPr>
                <w:rFonts w:ascii="宋体" w:hAnsi="宋体" w:eastAsia="宋体" w:cs="宋体"/>
                <w:color w:val="000000"/>
                <w:kern w:val="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A516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2.项目实施内容及过程概述</w:t>
            </w:r>
          </w:p>
        </w:tc>
        <w:tc>
          <w:tcPr>
            <w:tcW w:w="378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47F74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聘用人员7人，加强学校专业建设，增强校企合作力度，提高教学质量。</w:t>
            </w:r>
          </w:p>
        </w:tc>
      </w:tr>
      <w:tr w14:paraId="4CB3713B">
        <w:tblPrEx>
          <w:tblCellMar>
            <w:top w:w="0" w:type="dxa"/>
            <w:left w:w="108" w:type="dxa"/>
            <w:bottom w:w="0" w:type="dxa"/>
            <w:right w:w="108" w:type="dxa"/>
          </w:tblCellMar>
        </w:tblPrEx>
        <w:trPr>
          <w:trHeight w:val="360" w:hRule="atLeast"/>
        </w:trPr>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0E64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预算执行情况（10分）</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9BF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年度预算数（万元）</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4F9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年初预算</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0C30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调整后预算数</w:t>
            </w:r>
          </w:p>
        </w:tc>
        <w:tc>
          <w:tcPr>
            <w:tcW w:w="7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5105A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预算执行数</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58F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888E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2879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1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5C2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原因</w:t>
            </w:r>
          </w:p>
        </w:tc>
      </w:tr>
      <w:tr w14:paraId="013E0425">
        <w:tblPrEx>
          <w:tblCellMar>
            <w:top w:w="0" w:type="dxa"/>
            <w:left w:w="108" w:type="dxa"/>
            <w:bottom w:w="0" w:type="dxa"/>
            <w:right w:w="108" w:type="dxa"/>
          </w:tblCellMar>
        </w:tblPrEx>
        <w:trPr>
          <w:trHeight w:val="345" w:hRule="atLeast"/>
        </w:trPr>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1530D719">
            <w:pPr>
              <w:widowControl/>
              <w:jc w:val="left"/>
              <w:rPr>
                <w:rFonts w:ascii="宋体" w:hAnsi="宋体" w:eastAsia="宋体" w:cs="宋体"/>
                <w:color w:val="000000"/>
                <w:kern w:val="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FE24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总额</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9AD7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3551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48.72</w:t>
            </w:r>
          </w:p>
        </w:tc>
        <w:tc>
          <w:tcPr>
            <w:tcW w:w="7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2096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48.72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702F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8827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DCB1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1021C">
            <w:pPr>
              <w:widowControl/>
              <w:jc w:val="left"/>
              <w:rPr>
                <w:rFonts w:hint="eastAsia" w:ascii="黑体" w:hAnsi="黑体" w:eastAsia="宋体" w:cs="宋体"/>
                <w:i/>
                <w:iCs/>
                <w:color w:val="000000"/>
                <w:kern w:val="0"/>
                <w:sz w:val="18"/>
                <w:szCs w:val="18"/>
              </w:rPr>
            </w:pPr>
          </w:p>
        </w:tc>
      </w:tr>
      <w:tr w14:paraId="75775EB2">
        <w:tblPrEx>
          <w:tblCellMar>
            <w:top w:w="0" w:type="dxa"/>
            <w:left w:w="108" w:type="dxa"/>
            <w:bottom w:w="0" w:type="dxa"/>
            <w:right w:w="108" w:type="dxa"/>
          </w:tblCellMar>
        </w:tblPrEx>
        <w:trPr>
          <w:trHeight w:val="390" w:hRule="atLeast"/>
        </w:trPr>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4B19C91C">
            <w:pPr>
              <w:widowControl/>
              <w:jc w:val="left"/>
              <w:rPr>
                <w:rFonts w:ascii="宋体" w:hAnsi="宋体" w:eastAsia="宋体" w:cs="宋体"/>
                <w:color w:val="000000"/>
                <w:kern w:val="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ED34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其中：财政资金</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B6D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98C6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48.72</w:t>
            </w:r>
          </w:p>
        </w:tc>
        <w:tc>
          <w:tcPr>
            <w:tcW w:w="7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CD7E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48.72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7AEF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BB6A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6CB1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10" w:type="pct"/>
            <w:vMerge w:val="continue"/>
            <w:tcBorders>
              <w:top w:val="single" w:color="000000" w:sz="4" w:space="0"/>
              <w:left w:val="single" w:color="000000" w:sz="4" w:space="0"/>
              <w:bottom w:val="single" w:color="000000" w:sz="4" w:space="0"/>
              <w:right w:val="single" w:color="000000" w:sz="4" w:space="0"/>
            </w:tcBorders>
            <w:vAlign w:val="center"/>
          </w:tcPr>
          <w:p w14:paraId="6A28DBC8">
            <w:pPr>
              <w:widowControl/>
              <w:jc w:val="left"/>
              <w:rPr>
                <w:rFonts w:hint="eastAsia" w:ascii="黑体" w:hAnsi="黑体" w:eastAsia="宋体" w:cs="宋体"/>
                <w:i/>
                <w:iCs/>
                <w:color w:val="000000"/>
                <w:kern w:val="0"/>
                <w:sz w:val="18"/>
                <w:szCs w:val="18"/>
              </w:rPr>
            </w:pPr>
          </w:p>
        </w:tc>
      </w:tr>
      <w:tr w14:paraId="29CC3339">
        <w:tblPrEx>
          <w:tblCellMar>
            <w:top w:w="0" w:type="dxa"/>
            <w:left w:w="108" w:type="dxa"/>
            <w:bottom w:w="0" w:type="dxa"/>
            <w:right w:w="108" w:type="dxa"/>
          </w:tblCellMar>
        </w:tblPrEx>
        <w:trPr>
          <w:trHeight w:val="409" w:hRule="atLeast"/>
        </w:trPr>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3FE43A24">
            <w:pPr>
              <w:widowControl/>
              <w:jc w:val="left"/>
              <w:rPr>
                <w:rFonts w:ascii="宋体" w:hAnsi="宋体" w:eastAsia="宋体" w:cs="宋体"/>
                <w:color w:val="000000"/>
                <w:kern w:val="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8E2D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财政专户管理资金</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4B44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52D4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DA05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A2EA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BC9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DA8C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10" w:type="pct"/>
            <w:vMerge w:val="continue"/>
            <w:tcBorders>
              <w:top w:val="single" w:color="000000" w:sz="4" w:space="0"/>
              <w:left w:val="single" w:color="000000" w:sz="4" w:space="0"/>
              <w:bottom w:val="single" w:color="000000" w:sz="4" w:space="0"/>
              <w:right w:val="single" w:color="000000" w:sz="4" w:space="0"/>
            </w:tcBorders>
            <w:vAlign w:val="center"/>
          </w:tcPr>
          <w:p w14:paraId="67BBD584">
            <w:pPr>
              <w:widowControl/>
              <w:jc w:val="left"/>
              <w:rPr>
                <w:rFonts w:hint="eastAsia" w:ascii="黑体" w:hAnsi="黑体" w:eastAsia="宋体" w:cs="宋体"/>
                <w:i/>
                <w:iCs/>
                <w:color w:val="000000"/>
                <w:kern w:val="0"/>
                <w:sz w:val="18"/>
                <w:szCs w:val="18"/>
              </w:rPr>
            </w:pPr>
          </w:p>
        </w:tc>
      </w:tr>
      <w:tr w14:paraId="61B142A9">
        <w:tblPrEx>
          <w:tblCellMar>
            <w:top w:w="0" w:type="dxa"/>
            <w:left w:w="108" w:type="dxa"/>
            <w:bottom w:w="0" w:type="dxa"/>
            <w:right w:w="108" w:type="dxa"/>
          </w:tblCellMar>
        </w:tblPrEx>
        <w:trPr>
          <w:trHeight w:val="360" w:hRule="atLeast"/>
        </w:trPr>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355753A2">
            <w:pPr>
              <w:widowControl/>
              <w:jc w:val="left"/>
              <w:rPr>
                <w:rFonts w:ascii="宋体" w:hAnsi="宋体" w:eastAsia="宋体" w:cs="宋体"/>
                <w:color w:val="000000"/>
                <w:kern w:val="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70EA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单位资金</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4E10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1EB5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9152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11EB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A07A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C77C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10" w:type="pct"/>
            <w:vMerge w:val="continue"/>
            <w:tcBorders>
              <w:top w:val="single" w:color="000000" w:sz="4" w:space="0"/>
              <w:left w:val="single" w:color="000000" w:sz="4" w:space="0"/>
              <w:bottom w:val="single" w:color="000000" w:sz="4" w:space="0"/>
              <w:right w:val="single" w:color="000000" w:sz="4" w:space="0"/>
            </w:tcBorders>
            <w:vAlign w:val="center"/>
          </w:tcPr>
          <w:p w14:paraId="2EB6E5EB">
            <w:pPr>
              <w:widowControl/>
              <w:jc w:val="left"/>
              <w:rPr>
                <w:rFonts w:hint="eastAsia" w:ascii="黑体" w:hAnsi="黑体" w:eastAsia="宋体" w:cs="宋体"/>
                <w:i/>
                <w:iCs/>
                <w:color w:val="000000"/>
                <w:kern w:val="0"/>
                <w:sz w:val="18"/>
                <w:szCs w:val="18"/>
              </w:rPr>
            </w:pPr>
          </w:p>
        </w:tc>
      </w:tr>
      <w:tr w14:paraId="0C4EA179">
        <w:tblPrEx>
          <w:tblCellMar>
            <w:top w:w="0" w:type="dxa"/>
            <w:left w:w="108" w:type="dxa"/>
            <w:bottom w:w="0" w:type="dxa"/>
            <w:right w:w="108" w:type="dxa"/>
          </w:tblCellMar>
        </w:tblPrEx>
        <w:trPr>
          <w:trHeight w:val="338" w:hRule="atLeast"/>
        </w:trPr>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5EFA08E5">
            <w:pPr>
              <w:widowControl/>
              <w:jc w:val="left"/>
              <w:rPr>
                <w:rFonts w:ascii="宋体" w:hAnsi="宋体" w:eastAsia="宋体" w:cs="宋体"/>
                <w:color w:val="000000"/>
                <w:kern w:val="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D8B0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其他资金</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CEE12">
            <w:pPr>
              <w:widowControl/>
              <w:jc w:val="center"/>
              <w:rPr>
                <w:rFonts w:ascii="微软雅黑" w:hAnsi="微软雅黑" w:eastAsia="微软雅黑" w:cs="宋体"/>
                <w:i/>
                <w:iCs/>
                <w:color w:val="000000"/>
                <w:kern w:val="0"/>
                <w:sz w:val="16"/>
                <w:szCs w:val="16"/>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91160">
            <w:pPr>
              <w:widowControl/>
              <w:jc w:val="center"/>
              <w:rPr>
                <w:rFonts w:ascii="微软雅黑" w:hAnsi="微软雅黑" w:eastAsia="微软雅黑" w:cs="宋体"/>
                <w:i/>
                <w:iCs/>
                <w:color w:val="000000"/>
                <w:kern w:val="0"/>
                <w:sz w:val="16"/>
                <w:szCs w:val="16"/>
              </w:rPr>
            </w:pPr>
          </w:p>
        </w:tc>
        <w:tc>
          <w:tcPr>
            <w:tcW w:w="7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06511">
            <w:pPr>
              <w:widowControl/>
              <w:jc w:val="center"/>
              <w:rPr>
                <w:rFonts w:ascii="微软雅黑" w:hAnsi="微软雅黑" w:eastAsia="微软雅黑" w:cs="宋体"/>
                <w:i/>
                <w:iCs/>
                <w:color w:val="000000"/>
                <w:kern w:val="0"/>
                <w:sz w:val="16"/>
                <w:szCs w:val="16"/>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22E04">
            <w:pPr>
              <w:widowControl/>
              <w:jc w:val="center"/>
              <w:rPr>
                <w:rFonts w:ascii="微软雅黑" w:hAnsi="微软雅黑" w:eastAsia="微软雅黑" w:cs="宋体"/>
                <w:i/>
                <w:iCs/>
                <w:color w:val="000000"/>
                <w:kern w:val="0"/>
                <w:sz w:val="16"/>
                <w:szCs w:val="16"/>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1B78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3A3C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10" w:type="pct"/>
            <w:vMerge w:val="continue"/>
            <w:tcBorders>
              <w:top w:val="single" w:color="000000" w:sz="4" w:space="0"/>
              <w:left w:val="single" w:color="000000" w:sz="4" w:space="0"/>
              <w:bottom w:val="single" w:color="000000" w:sz="4" w:space="0"/>
              <w:right w:val="single" w:color="000000" w:sz="4" w:space="0"/>
            </w:tcBorders>
            <w:vAlign w:val="center"/>
          </w:tcPr>
          <w:p w14:paraId="6FEEF22A">
            <w:pPr>
              <w:widowControl/>
              <w:jc w:val="left"/>
              <w:rPr>
                <w:rFonts w:hint="eastAsia" w:ascii="黑体" w:hAnsi="黑体" w:eastAsia="宋体" w:cs="宋体"/>
                <w:i/>
                <w:iCs/>
                <w:color w:val="000000"/>
                <w:kern w:val="0"/>
                <w:sz w:val="18"/>
                <w:szCs w:val="18"/>
              </w:rPr>
            </w:pPr>
          </w:p>
        </w:tc>
      </w:tr>
      <w:tr w14:paraId="2476ED0B">
        <w:tblPrEx>
          <w:tblCellMar>
            <w:top w:w="0" w:type="dxa"/>
            <w:left w:w="108" w:type="dxa"/>
            <w:bottom w:w="0" w:type="dxa"/>
            <w:right w:w="108" w:type="dxa"/>
          </w:tblCellMar>
        </w:tblPrEx>
        <w:trPr>
          <w:trHeight w:val="454" w:hRule="atLeast"/>
        </w:trPr>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7BD8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绩效指标（90分）</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B880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一级指标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A484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二级指标</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FFD5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三级指标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3EE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指标性质</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29F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指标值</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70B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度量单位</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382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完成值</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DA2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61DB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1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2C52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未完成原因分析</w:t>
            </w:r>
          </w:p>
        </w:tc>
      </w:tr>
      <w:tr w14:paraId="3797DBB9">
        <w:tblPrEx>
          <w:tblCellMar>
            <w:top w:w="0" w:type="dxa"/>
            <w:left w:w="108" w:type="dxa"/>
            <w:bottom w:w="0" w:type="dxa"/>
            <w:right w:w="108" w:type="dxa"/>
          </w:tblCellMar>
        </w:tblPrEx>
        <w:trPr>
          <w:trHeight w:val="338" w:hRule="atLeast"/>
        </w:trPr>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39C58706">
            <w:pPr>
              <w:widowControl/>
              <w:jc w:val="left"/>
              <w:rPr>
                <w:rFonts w:ascii="宋体" w:hAnsi="宋体" w:eastAsia="宋体" w:cs="宋体"/>
                <w:color w:val="000000"/>
                <w:kern w:val="0"/>
                <w:sz w:val="18"/>
                <w:szCs w:val="18"/>
              </w:rPr>
            </w:pP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CAA9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8698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8A2B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外聘教师数量</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1924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31B5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3CD3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人数</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563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7</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76E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BD2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23B4B">
            <w:pPr>
              <w:widowControl/>
              <w:jc w:val="center"/>
              <w:rPr>
                <w:rFonts w:ascii="微软雅黑" w:hAnsi="微软雅黑" w:eastAsia="微软雅黑" w:cs="宋体"/>
                <w:i/>
                <w:iCs/>
                <w:color w:val="000000"/>
                <w:kern w:val="0"/>
                <w:sz w:val="16"/>
                <w:szCs w:val="16"/>
              </w:rPr>
            </w:pPr>
          </w:p>
        </w:tc>
      </w:tr>
      <w:tr w14:paraId="1EAB9B33">
        <w:tblPrEx>
          <w:tblCellMar>
            <w:top w:w="0" w:type="dxa"/>
            <w:left w:w="108" w:type="dxa"/>
            <w:bottom w:w="0" w:type="dxa"/>
            <w:right w:w="108" w:type="dxa"/>
          </w:tblCellMar>
        </w:tblPrEx>
        <w:trPr>
          <w:trHeight w:val="338" w:hRule="atLeast"/>
        </w:trPr>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2DB92B20">
            <w:pPr>
              <w:widowControl/>
              <w:jc w:val="left"/>
              <w:rPr>
                <w:rFonts w:ascii="宋体" w:hAnsi="宋体" w:eastAsia="宋体" w:cs="宋体"/>
                <w:color w:val="000000"/>
                <w:kern w:val="0"/>
                <w:sz w:val="18"/>
                <w:szCs w:val="18"/>
              </w:rPr>
            </w:pPr>
          </w:p>
        </w:tc>
        <w:tc>
          <w:tcPr>
            <w:tcW w:w="512" w:type="pct"/>
            <w:vMerge w:val="continue"/>
            <w:tcBorders>
              <w:top w:val="single" w:color="000000" w:sz="4" w:space="0"/>
              <w:left w:val="single" w:color="000000" w:sz="4" w:space="0"/>
              <w:bottom w:val="single" w:color="000000" w:sz="4" w:space="0"/>
              <w:right w:val="single" w:color="000000" w:sz="4" w:space="0"/>
            </w:tcBorders>
            <w:vAlign w:val="center"/>
          </w:tcPr>
          <w:p w14:paraId="5114B5D3">
            <w:pPr>
              <w:widowControl/>
              <w:jc w:val="left"/>
              <w:rPr>
                <w:rFonts w:ascii="宋体" w:hAnsi="宋体" w:eastAsia="宋体" w:cs="宋体"/>
                <w:color w:val="000000"/>
                <w:kern w:val="0"/>
                <w:sz w:val="18"/>
                <w:szCs w:val="18"/>
              </w:rPr>
            </w:pPr>
          </w:p>
        </w:tc>
        <w:tc>
          <w:tcPr>
            <w:tcW w:w="430" w:type="pct"/>
            <w:vMerge w:val="continue"/>
            <w:tcBorders>
              <w:top w:val="single" w:color="000000" w:sz="4" w:space="0"/>
              <w:left w:val="single" w:color="000000" w:sz="4" w:space="0"/>
              <w:bottom w:val="single" w:color="000000" w:sz="4" w:space="0"/>
              <w:right w:val="single" w:color="000000" w:sz="4" w:space="0"/>
            </w:tcBorders>
            <w:vAlign w:val="center"/>
          </w:tcPr>
          <w:p w14:paraId="2BAB6433">
            <w:pPr>
              <w:widowControl/>
              <w:jc w:val="left"/>
              <w:rPr>
                <w:rFonts w:ascii="宋体" w:hAnsi="宋体" w:eastAsia="宋体" w:cs="宋体"/>
                <w:color w:val="000000"/>
                <w:kern w:val="0"/>
                <w:sz w:val="18"/>
                <w:szCs w:val="18"/>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E49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按时足额支付金额</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DC5F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5FB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48.72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202B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4182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48.72</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B1CA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1A97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5CAC">
            <w:pPr>
              <w:widowControl/>
              <w:jc w:val="center"/>
              <w:rPr>
                <w:rFonts w:ascii="微软雅黑" w:hAnsi="微软雅黑" w:eastAsia="微软雅黑" w:cs="宋体"/>
                <w:i/>
                <w:iCs/>
                <w:color w:val="000000"/>
                <w:kern w:val="0"/>
                <w:sz w:val="16"/>
                <w:szCs w:val="16"/>
              </w:rPr>
            </w:pPr>
          </w:p>
        </w:tc>
      </w:tr>
      <w:tr w14:paraId="00B8473B">
        <w:tblPrEx>
          <w:tblCellMar>
            <w:top w:w="0" w:type="dxa"/>
            <w:left w:w="108" w:type="dxa"/>
            <w:bottom w:w="0" w:type="dxa"/>
            <w:right w:w="108" w:type="dxa"/>
          </w:tblCellMar>
        </w:tblPrEx>
        <w:trPr>
          <w:trHeight w:val="454" w:hRule="atLeast"/>
        </w:trPr>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554F8BDF">
            <w:pPr>
              <w:widowControl/>
              <w:jc w:val="left"/>
              <w:rPr>
                <w:rFonts w:ascii="宋体" w:hAnsi="宋体" w:eastAsia="宋体" w:cs="宋体"/>
                <w:color w:val="000000"/>
                <w:kern w:val="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061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效益指标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703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可持续发展指标</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E44D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提高办学质量，促进学生就业</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58CB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71E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B4C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5064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92</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A98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5859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1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7DEDA">
            <w:pPr>
              <w:widowControl/>
              <w:jc w:val="center"/>
              <w:rPr>
                <w:rFonts w:ascii="微软雅黑" w:hAnsi="微软雅黑" w:eastAsia="微软雅黑" w:cs="宋体"/>
                <w:i/>
                <w:iCs/>
                <w:color w:val="000000"/>
                <w:kern w:val="0"/>
                <w:sz w:val="16"/>
                <w:szCs w:val="16"/>
              </w:rPr>
            </w:pPr>
          </w:p>
        </w:tc>
      </w:tr>
      <w:tr w14:paraId="4E36D3EB">
        <w:tblPrEx>
          <w:tblCellMar>
            <w:top w:w="0" w:type="dxa"/>
            <w:left w:w="108" w:type="dxa"/>
            <w:bottom w:w="0" w:type="dxa"/>
            <w:right w:w="108" w:type="dxa"/>
          </w:tblCellMar>
        </w:tblPrEx>
        <w:trPr>
          <w:trHeight w:val="454" w:hRule="atLeast"/>
        </w:trPr>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76B743D6">
            <w:pPr>
              <w:widowControl/>
              <w:jc w:val="left"/>
              <w:rPr>
                <w:rFonts w:ascii="宋体" w:hAnsi="宋体" w:eastAsia="宋体" w:cs="宋体"/>
                <w:color w:val="000000"/>
                <w:kern w:val="0"/>
                <w:sz w:val="18"/>
                <w:szCs w:val="18"/>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37B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EE0E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服务对象满意度指标</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42F6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学生及家长满意度</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311C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CDB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E95E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08E0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92</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A800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8A3A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3C0E4">
            <w:pPr>
              <w:widowControl/>
              <w:jc w:val="center"/>
              <w:rPr>
                <w:rFonts w:ascii="微软雅黑" w:hAnsi="微软雅黑" w:eastAsia="微软雅黑" w:cs="宋体"/>
                <w:i/>
                <w:iCs/>
                <w:color w:val="000000"/>
                <w:kern w:val="0"/>
                <w:sz w:val="16"/>
                <w:szCs w:val="16"/>
              </w:rPr>
            </w:pPr>
          </w:p>
        </w:tc>
      </w:tr>
      <w:tr w14:paraId="504E20BB">
        <w:tblPrEx>
          <w:tblCellMar>
            <w:top w:w="0" w:type="dxa"/>
            <w:left w:w="108" w:type="dxa"/>
            <w:bottom w:w="0" w:type="dxa"/>
            <w:right w:w="108" w:type="dxa"/>
          </w:tblCellMar>
        </w:tblPrEx>
        <w:trPr>
          <w:trHeight w:val="285" w:hRule="atLeast"/>
        </w:trPr>
        <w:tc>
          <w:tcPr>
            <w:tcW w:w="342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FC68A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E345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3D8E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99</w:t>
            </w:r>
          </w:p>
        </w:tc>
        <w:tc>
          <w:tcPr>
            <w:tcW w:w="1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B460">
            <w:pPr>
              <w:widowControl/>
              <w:jc w:val="left"/>
              <w:rPr>
                <w:rFonts w:ascii="宋体" w:hAnsi="宋体" w:eastAsia="宋体" w:cs="宋体"/>
                <w:color w:val="000000"/>
                <w:kern w:val="0"/>
                <w:sz w:val="18"/>
                <w:szCs w:val="18"/>
              </w:rPr>
            </w:pPr>
          </w:p>
        </w:tc>
      </w:tr>
      <w:tr w14:paraId="0BD0D035">
        <w:tblPrEx>
          <w:tblCellMar>
            <w:top w:w="0" w:type="dxa"/>
            <w:left w:w="108" w:type="dxa"/>
            <w:bottom w:w="0" w:type="dxa"/>
            <w:right w:w="108" w:type="dxa"/>
          </w:tblCellMar>
        </w:tblPrEx>
        <w:trPr>
          <w:trHeight w:val="604" w:hRule="atLeast"/>
        </w:trPr>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B5E0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评价结论</w:t>
            </w:r>
          </w:p>
        </w:tc>
        <w:tc>
          <w:tcPr>
            <w:tcW w:w="429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ACC460">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聘用人员7人，严格按预算执行，加强学校专业建设，增强校企合作力度，提高教学质量。</w:t>
            </w:r>
          </w:p>
        </w:tc>
      </w:tr>
      <w:tr w14:paraId="6B8392F3">
        <w:tblPrEx>
          <w:tblCellMar>
            <w:top w:w="0" w:type="dxa"/>
            <w:left w:w="108" w:type="dxa"/>
            <w:bottom w:w="0" w:type="dxa"/>
            <w:right w:w="108" w:type="dxa"/>
          </w:tblCellMar>
        </w:tblPrEx>
        <w:trPr>
          <w:trHeight w:val="574" w:hRule="atLeast"/>
        </w:trPr>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71C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存在问题</w:t>
            </w:r>
          </w:p>
        </w:tc>
        <w:tc>
          <w:tcPr>
            <w:tcW w:w="429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33B65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学校适应企业需求的能力需持续提升</w:t>
            </w:r>
          </w:p>
        </w:tc>
      </w:tr>
      <w:tr w14:paraId="25380E07">
        <w:tblPrEx>
          <w:tblCellMar>
            <w:top w:w="0" w:type="dxa"/>
            <w:left w:w="108" w:type="dxa"/>
            <w:bottom w:w="0" w:type="dxa"/>
            <w:right w:w="108" w:type="dxa"/>
          </w:tblCellMar>
        </w:tblPrEx>
        <w:trPr>
          <w:trHeight w:val="634" w:hRule="atLeast"/>
        </w:trPr>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1EF1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改进措施</w:t>
            </w:r>
          </w:p>
        </w:tc>
        <w:tc>
          <w:tcPr>
            <w:tcW w:w="429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421F1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争取形成更科学规范的校企联合培养人才体制机制，促进校企更深层次合作。</w:t>
            </w:r>
          </w:p>
        </w:tc>
      </w:tr>
      <w:tr w14:paraId="04F3BDCB">
        <w:tblPrEx>
          <w:tblCellMar>
            <w:top w:w="0" w:type="dxa"/>
            <w:left w:w="108" w:type="dxa"/>
            <w:bottom w:w="0" w:type="dxa"/>
            <w:right w:w="108" w:type="dxa"/>
          </w:tblCellMar>
        </w:tblPrEx>
        <w:trPr>
          <w:trHeight w:val="285" w:hRule="atLeast"/>
        </w:trPr>
        <w:tc>
          <w:tcPr>
            <w:tcW w:w="24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84A3A4">
            <w:pPr>
              <w:widowControl/>
              <w:jc w:val="left"/>
              <w:rPr>
                <w:rFonts w:hint="eastAsia" w:ascii="黑体" w:hAnsi="黑体" w:eastAsia="宋体" w:cs="宋体"/>
                <w:color w:val="000000"/>
                <w:kern w:val="0"/>
                <w:sz w:val="18"/>
                <w:szCs w:val="18"/>
              </w:rPr>
            </w:pPr>
            <w:r>
              <w:rPr>
                <w:rFonts w:ascii="黑体" w:hAnsi="黑体" w:eastAsia="宋体" w:cs="宋体"/>
                <w:color w:val="000000"/>
                <w:kern w:val="0"/>
                <w:sz w:val="18"/>
                <w:szCs w:val="18"/>
              </w:rPr>
              <w:t>项目负责人：李秀英</w:t>
            </w:r>
          </w:p>
        </w:tc>
        <w:tc>
          <w:tcPr>
            <w:tcW w:w="25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DA9222">
            <w:pPr>
              <w:widowControl/>
              <w:jc w:val="left"/>
              <w:rPr>
                <w:rFonts w:hint="eastAsia" w:ascii="黑体" w:hAnsi="黑体" w:eastAsia="宋体" w:cs="宋体"/>
                <w:color w:val="000000"/>
                <w:kern w:val="0"/>
                <w:sz w:val="18"/>
                <w:szCs w:val="18"/>
              </w:rPr>
            </w:pPr>
            <w:r>
              <w:rPr>
                <w:rFonts w:ascii="黑体" w:hAnsi="黑体" w:eastAsia="宋体" w:cs="宋体"/>
                <w:color w:val="000000"/>
                <w:kern w:val="0"/>
                <w:sz w:val="18"/>
                <w:szCs w:val="18"/>
              </w:rPr>
              <w:t>财务负责人：张玲</w:t>
            </w:r>
          </w:p>
        </w:tc>
      </w:tr>
    </w:tbl>
    <w:p w14:paraId="1BA67804">
      <w:pPr>
        <w:spacing w:line="20" w:lineRule="exact"/>
        <w:outlineLvl w:val="0"/>
        <w:rPr>
          <w:rFonts w:ascii="黑体" w:hAnsi="黑体" w:eastAsia="黑体"/>
          <w:color w:val="000000"/>
          <w:sz w:val="15"/>
          <w:szCs w:val="15"/>
        </w:rPr>
      </w:pPr>
    </w:p>
    <w:tbl>
      <w:tblPr>
        <w:tblStyle w:val="13"/>
        <w:tblpPr w:leftFromText="180" w:rightFromText="180" w:vertAnchor="text" w:horzAnchor="margin" w:tblpXSpec="center" w:tblpY="151"/>
        <w:tblW w:w="6071" w:type="pct"/>
        <w:tblInd w:w="0" w:type="dxa"/>
        <w:tblLayout w:type="autofit"/>
        <w:tblCellMar>
          <w:top w:w="0" w:type="dxa"/>
          <w:left w:w="108" w:type="dxa"/>
          <w:bottom w:w="0" w:type="dxa"/>
          <w:right w:w="108" w:type="dxa"/>
        </w:tblCellMar>
      </w:tblPr>
      <w:tblGrid>
        <w:gridCol w:w="1589"/>
        <w:gridCol w:w="1067"/>
        <w:gridCol w:w="893"/>
        <w:gridCol w:w="1193"/>
        <w:gridCol w:w="396"/>
        <w:gridCol w:w="842"/>
        <w:gridCol w:w="396"/>
        <w:gridCol w:w="846"/>
        <w:gridCol w:w="486"/>
        <w:gridCol w:w="486"/>
        <w:gridCol w:w="2153"/>
      </w:tblGrid>
      <w:tr w14:paraId="0AB52987">
        <w:tblPrEx>
          <w:tblCellMar>
            <w:top w:w="0" w:type="dxa"/>
            <w:left w:w="108" w:type="dxa"/>
            <w:bottom w:w="0" w:type="dxa"/>
            <w:right w:w="108" w:type="dxa"/>
          </w:tblCellMar>
        </w:tblPrEx>
        <w:trPr>
          <w:trHeight w:val="703"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6C87BF">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1862C467">
        <w:tblPrEx>
          <w:tblCellMar>
            <w:top w:w="0" w:type="dxa"/>
            <w:left w:w="108" w:type="dxa"/>
            <w:bottom w:w="0" w:type="dxa"/>
            <w:right w:w="108" w:type="dxa"/>
          </w:tblCellMar>
        </w:tblPrEx>
        <w:trPr>
          <w:trHeight w:val="285" w:hRule="atLeast"/>
        </w:trPr>
        <w:tc>
          <w:tcPr>
            <w:tcW w:w="12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4015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370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F7E7C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51030022T000000318797-市职培院债券资金付息</w:t>
            </w:r>
          </w:p>
        </w:tc>
      </w:tr>
      <w:tr w14:paraId="491C00F8">
        <w:tblPrEx>
          <w:tblCellMar>
            <w:top w:w="0" w:type="dxa"/>
            <w:left w:w="108" w:type="dxa"/>
            <w:bottom w:w="0" w:type="dxa"/>
            <w:right w:w="108" w:type="dxa"/>
          </w:tblCellMar>
        </w:tblPrEx>
        <w:trPr>
          <w:trHeight w:val="514" w:hRule="atLeast"/>
        </w:trPr>
        <w:tc>
          <w:tcPr>
            <w:tcW w:w="12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7DA6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主管部门</w:t>
            </w:r>
          </w:p>
        </w:tc>
        <w:tc>
          <w:tcPr>
            <w:tcW w:w="18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0A89A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自贡市人力资源和社会保障局部门</w:t>
            </w:r>
          </w:p>
        </w:tc>
        <w:tc>
          <w:tcPr>
            <w:tcW w:w="409" w:type="pct"/>
            <w:tcBorders>
              <w:top w:val="nil"/>
              <w:left w:val="nil"/>
              <w:bottom w:val="nil"/>
              <w:right w:val="nil"/>
            </w:tcBorders>
            <w:shd w:val="clear" w:color="auto" w:fill="auto"/>
            <w:vAlign w:val="center"/>
          </w:tcPr>
          <w:p w14:paraId="54F7BDE0">
            <w:pPr>
              <w:widowControl/>
              <w:jc w:val="left"/>
              <w:rPr>
                <w:rFonts w:hint="eastAsia" w:ascii="黑体" w:hAnsi="黑体" w:eastAsia="宋体" w:cs="宋体"/>
                <w:color w:val="000000"/>
                <w:kern w:val="0"/>
                <w:sz w:val="18"/>
                <w:szCs w:val="18"/>
              </w:rPr>
            </w:pPr>
            <w:r>
              <w:rPr>
                <w:rFonts w:ascii="黑体" w:hAnsi="黑体" w:eastAsia="宋体" w:cs="宋体"/>
                <w:color w:val="000000"/>
                <w:kern w:val="0"/>
                <w:sz w:val="18"/>
                <w:szCs w:val="18"/>
              </w:rPr>
              <w:t>实施单位 （盖章）</w:t>
            </w:r>
          </w:p>
        </w:tc>
        <w:tc>
          <w:tcPr>
            <w:tcW w:w="14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415B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自贡市职业培训学院</w:t>
            </w:r>
          </w:p>
        </w:tc>
      </w:tr>
      <w:tr w14:paraId="5F463B26">
        <w:tblPrEx>
          <w:tblCellMar>
            <w:top w:w="0" w:type="dxa"/>
            <w:left w:w="108" w:type="dxa"/>
            <w:bottom w:w="0" w:type="dxa"/>
            <w:right w:w="108" w:type="dxa"/>
          </w:tblCellMar>
        </w:tblPrEx>
        <w:trPr>
          <w:trHeight w:val="285" w:hRule="atLeast"/>
        </w:trPr>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B0E1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项目基本情况</w:t>
            </w: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B27B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1.项目年度目标完成情况</w:t>
            </w:r>
          </w:p>
        </w:tc>
        <w:tc>
          <w:tcPr>
            <w:tcW w:w="18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C6F98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项目年度目标</w:t>
            </w:r>
          </w:p>
        </w:tc>
        <w:tc>
          <w:tcPr>
            <w:tcW w:w="188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5E1E71">
            <w:pPr>
              <w:widowControl/>
              <w:jc w:val="center"/>
              <w:rPr>
                <w:rFonts w:hint="eastAsia" w:ascii="黑体" w:hAnsi="黑体" w:eastAsia="宋体" w:cs="宋体"/>
                <w:color w:val="000000"/>
                <w:kern w:val="0"/>
                <w:sz w:val="18"/>
                <w:szCs w:val="18"/>
              </w:rPr>
            </w:pPr>
            <w:r>
              <w:rPr>
                <w:rFonts w:ascii="黑体" w:hAnsi="黑体" w:eastAsia="宋体" w:cs="宋体"/>
                <w:color w:val="000000"/>
                <w:kern w:val="0"/>
                <w:sz w:val="18"/>
                <w:szCs w:val="18"/>
              </w:rPr>
              <w:t>年度目标完成情况</w:t>
            </w:r>
          </w:p>
        </w:tc>
      </w:tr>
      <w:tr w14:paraId="36AA0058">
        <w:tblPrEx>
          <w:tblCellMar>
            <w:top w:w="0" w:type="dxa"/>
            <w:left w:w="108" w:type="dxa"/>
            <w:bottom w:w="0" w:type="dxa"/>
            <w:right w:w="108" w:type="dxa"/>
          </w:tblCellMar>
        </w:tblPrEx>
        <w:trPr>
          <w:trHeight w:val="709" w:hRule="atLeast"/>
        </w:trPr>
        <w:tc>
          <w:tcPr>
            <w:tcW w:w="774" w:type="pct"/>
            <w:vMerge w:val="continue"/>
            <w:tcBorders>
              <w:top w:val="single" w:color="000000" w:sz="4" w:space="0"/>
              <w:left w:val="single" w:color="000000" w:sz="4" w:space="0"/>
              <w:bottom w:val="single" w:color="000000" w:sz="4" w:space="0"/>
              <w:right w:val="single" w:color="000000" w:sz="4" w:space="0"/>
            </w:tcBorders>
            <w:vAlign w:val="center"/>
          </w:tcPr>
          <w:p w14:paraId="1E62AE4C">
            <w:pPr>
              <w:widowControl/>
              <w:jc w:val="left"/>
              <w:rPr>
                <w:rFonts w:ascii="宋体" w:hAnsi="宋体" w:eastAsia="宋体" w:cs="宋体"/>
                <w:color w:val="000000"/>
                <w:kern w:val="0"/>
                <w:sz w:val="18"/>
                <w:szCs w:val="18"/>
              </w:rPr>
            </w:pP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615010FF">
            <w:pPr>
              <w:widowControl/>
              <w:jc w:val="left"/>
              <w:rPr>
                <w:rFonts w:ascii="宋体" w:hAnsi="宋体" w:eastAsia="宋体" w:cs="宋体"/>
                <w:color w:val="000000"/>
                <w:kern w:val="0"/>
                <w:sz w:val="18"/>
                <w:szCs w:val="18"/>
              </w:rPr>
            </w:pPr>
          </w:p>
        </w:tc>
        <w:tc>
          <w:tcPr>
            <w:tcW w:w="18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EC662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按期支付地方政府债券利息，缓解学院偿债压力。</w:t>
            </w:r>
          </w:p>
        </w:tc>
        <w:tc>
          <w:tcPr>
            <w:tcW w:w="188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AD268E">
            <w:pPr>
              <w:widowControl/>
              <w:jc w:val="left"/>
              <w:rPr>
                <w:rFonts w:hint="eastAsia" w:ascii="黑体" w:hAnsi="黑体" w:eastAsia="宋体" w:cs="宋体"/>
                <w:color w:val="000000"/>
                <w:kern w:val="0"/>
                <w:sz w:val="18"/>
                <w:szCs w:val="18"/>
              </w:rPr>
            </w:pPr>
            <w:r>
              <w:rPr>
                <w:rFonts w:ascii="黑体" w:hAnsi="黑体" w:eastAsia="宋体" w:cs="宋体"/>
                <w:color w:val="000000"/>
                <w:kern w:val="0"/>
                <w:sz w:val="18"/>
                <w:szCs w:val="18"/>
              </w:rPr>
              <w:t>按时足额支付</w:t>
            </w:r>
          </w:p>
        </w:tc>
      </w:tr>
      <w:tr w14:paraId="6A125AC9">
        <w:tblPrEx>
          <w:tblCellMar>
            <w:top w:w="0" w:type="dxa"/>
            <w:left w:w="108" w:type="dxa"/>
            <w:bottom w:w="0" w:type="dxa"/>
            <w:right w:w="108" w:type="dxa"/>
          </w:tblCellMar>
        </w:tblPrEx>
        <w:trPr>
          <w:trHeight w:val="694" w:hRule="atLeast"/>
        </w:trPr>
        <w:tc>
          <w:tcPr>
            <w:tcW w:w="774" w:type="pct"/>
            <w:vMerge w:val="continue"/>
            <w:tcBorders>
              <w:top w:val="single" w:color="000000" w:sz="4" w:space="0"/>
              <w:left w:val="single" w:color="000000" w:sz="4" w:space="0"/>
              <w:bottom w:val="single" w:color="000000" w:sz="4" w:space="0"/>
              <w:right w:val="single" w:color="000000" w:sz="4" w:space="0"/>
            </w:tcBorders>
            <w:vAlign w:val="center"/>
          </w:tcPr>
          <w:p w14:paraId="10CDA5BA">
            <w:pPr>
              <w:widowControl/>
              <w:jc w:val="left"/>
              <w:rPr>
                <w:rFonts w:ascii="宋体" w:hAnsi="宋体" w:eastAsia="宋体" w:cs="宋体"/>
                <w:color w:val="000000"/>
                <w:kern w:val="0"/>
                <w:sz w:val="18"/>
                <w:szCs w:val="18"/>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181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2.项目实施内容及过程概述</w:t>
            </w:r>
          </w:p>
        </w:tc>
        <w:tc>
          <w:tcPr>
            <w:tcW w:w="370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E2DCD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严格执行相关政策，预算执行过程科学合理，按时足额支付。</w:t>
            </w:r>
          </w:p>
        </w:tc>
      </w:tr>
      <w:tr w14:paraId="07F6D30B">
        <w:tblPrEx>
          <w:tblCellMar>
            <w:top w:w="0" w:type="dxa"/>
            <w:left w:w="108" w:type="dxa"/>
            <w:bottom w:w="0" w:type="dxa"/>
            <w:right w:w="108" w:type="dxa"/>
          </w:tblCellMar>
        </w:tblPrEx>
        <w:trPr>
          <w:trHeight w:val="360" w:hRule="atLeast"/>
        </w:trPr>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CE94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预算执行情况（10分）</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18E1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年度预算数（万元）</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47B6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年初预算</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439E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调整后预算数</w:t>
            </w:r>
          </w:p>
        </w:tc>
        <w:tc>
          <w:tcPr>
            <w:tcW w:w="7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5DE08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预算执行数</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BEA9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1A68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B56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7F5D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原因</w:t>
            </w:r>
          </w:p>
        </w:tc>
      </w:tr>
      <w:tr w14:paraId="670C8EFF">
        <w:tblPrEx>
          <w:tblCellMar>
            <w:top w:w="0" w:type="dxa"/>
            <w:left w:w="108" w:type="dxa"/>
            <w:bottom w:w="0" w:type="dxa"/>
            <w:right w:w="108" w:type="dxa"/>
          </w:tblCellMar>
        </w:tblPrEx>
        <w:trPr>
          <w:trHeight w:val="345" w:hRule="atLeast"/>
        </w:trPr>
        <w:tc>
          <w:tcPr>
            <w:tcW w:w="774" w:type="pct"/>
            <w:vMerge w:val="continue"/>
            <w:tcBorders>
              <w:top w:val="single" w:color="000000" w:sz="4" w:space="0"/>
              <w:left w:val="single" w:color="000000" w:sz="4" w:space="0"/>
              <w:bottom w:val="single" w:color="000000" w:sz="4" w:space="0"/>
              <w:right w:val="single" w:color="000000" w:sz="4" w:space="0"/>
            </w:tcBorders>
            <w:vAlign w:val="center"/>
          </w:tcPr>
          <w:p w14:paraId="652222DE">
            <w:pPr>
              <w:widowControl/>
              <w:jc w:val="left"/>
              <w:rPr>
                <w:rFonts w:ascii="宋体" w:hAnsi="宋体" w:eastAsia="宋体" w:cs="宋体"/>
                <w:color w:val="000000"/>
                <w:kern w:val="0"/>
                <w:sz w:val="18"/>
                <w:szCs w:val="18"/>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9BBE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总额</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ADE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146.02</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0C24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146.02</w:t>
            </w:r>
          </w:p>
        </w:tc>
        <w:tc>
          <w:tcPr>
            <w:tcW w:w="7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6DCA6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146.02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3E6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FD1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D7B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0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9A6EB">
            <w:pPr>
              <w:widowControl/>
              <w:jc w:val="left"/>
              <w:rPr>
                <w:rFonts w:hint="eastAsia" w:ascii="黑体" w:hAnsi="黑体" w:eastAsia="宋体" w:cs="宋体"/>
                <w:i/>
                <w:iCs/>
                <w:color w:val="000000"/>
                <w:kern w:val="0"/>
                <w:sz w:val="18"/>
                <w:szCs w:val="18"/>
              </w:rPr>
            </w:pPr>
          </w:p>
        </w:tc>
      </w:tr>
      <w:tr w14:paraId="2AEE7A46">
        <w:tblPrEx>
          <w:tblCellMar>
            <w:top w:w="0" w:type="dxa"/>
            <w:left w:w="108" w:type="dxa"/>
            <w:bottom w:w="0" w:type="dxa"/>
            <w:right w:w="108" w:type="dxa"/>
          </w:tblCellMar>
        </w:tblPrEx>
        <w:trPr>
          <w:trHeight w:val="390" w:hRule="atLeast"/>
        </w:trPr>
        <w:tc>
          <w:tcPr>
            <w:tcW w:w="774" w:type="pct"/>
            <w:vMerge w:val="continue"/>
            <w:tcBorders>
              <w:top w:val="single" w:color="000000" w:sz="4" w:space="0"/>
              <w:left w:val="single" w:color="000000" w:sz="4" w:space="0"/>
              <w:bottom w:val="single" w:color="000000" w:sz="4" w:space="0"/>
              <w:right w:val="single" w:color="000000" w:sz="4" w:space="0"/>
            </w:tcBorders>
            <w:vAlign w:val="center"/>
          </w:tcPr>
          <w:p w14:paraId="62148D22">
            <w:pPr>
              <w:widowControl/>
              <w:jc w:val="left"/>
              <w:rPr>
                <w:rFonts w:ascii="宋体" w:hAnsi="宋体" w:eastAsia="宋体" w:cs="宋体"/>
                <w:color w:val="000000"/>
                <w:kern w:val="0"/>
                <w:sz w:val="18"/>
                <w:szCs w:val="18"/>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1904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其中：财政资金</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69C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146.02</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E7E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146.02</w:t>
            </w:r>
          </w:p>
        </w:tc>
        <w:tc>
          <w:tcPr>
            <w:tcW w:w="7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162B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146.02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3310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A883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2FCF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53" w:type="pct"/>
            <w:vMerge w:val="continue"/>
            <w:tcBorders>
              <w:top w:val="single" w:color="000000" w:sz="4" w:space="0"/>
              <w:left w:val="single" w:color="000000" w:sz="4" w:space="0"/>
              <w:bottom w:val="single" w:color="000000" w:sz="4" w:space="0"/>
              <w:right w:val="single" w:color="000000" w:sz="4" w:space="0"/>
            </w:tcBorders>
            <w:vAlign w:val="center"/>
          </w:tcPr>
          <w:p w14:paraId="3A7AE6AF">
            <w:pPr>
              <w:widowControl/>
              <w:jc w:val="left"/>
              <w:rPr>
                <w:rFonts w:hint="eastAsia" w:ascii="黑体" w:hAnsi="黑体" w:eastAsia="宋体" w:cs="宋体"/>
                <w:i/>
                <w:iCs/>
                <w:color w:val="000000"/>
                <w:kern w:val="0"/>
                <w:sz w:val="18"/>
                <w:szCs w:val="18"/>
              </w:rPr>
            </w:pPr>
          </w:p>
        </w:tc>
      </w:tr>
      <w:tr w14:paraId="6D3E3CF5">
        <w:tblPrEx>
          <w:tblCellMar>
            <w:top w:w="0" w:type="dxa"/>
            <w:left w:w="108" w:type="dxa"/>
            <w:bottom w:w="0" w:type="dxa"/>
            <w:right w:w="108" w:type="dxa"/>
          </w:tblCellMar>
        </w:tblPrEx>
        <w:trPr>
          <w:trHeight w:val="409" w:hRule="atLeast"/>
        </w:trPr>
        <w:tc>
          <w:tcPr>
            <w:tcW w:w="774" w:type="pct"/>
            <w:vMerge w:val="continue"/>
            <w:tcBorders>
              <w:top w:val="single" w:color="000000" w:sz="4" w:space="0"/>
              <w:left w:val="single" w:color="000000" w:sz="4" w:space="0"/>
              <w:bottom w:val="single" w:color="000000" w:sz="4" w:space="0"/>
              <w:right w:val="single" w:color="000000" w:sz="4" w:space="0"/>
            </w:tcBorders>
            <w:vAlign w:val="center"/>
          </w:tcPr>
          <w:p w14:paraId="5D21378C">
            <w:pPr>
              <w:widowControl/>
              <w:jc w:val="left"/>
              <w:rPr>
                <w:rFonts w:ascii="宋体" w:hAnsi="宋体" w:eastAsia="宋体" w:cs="宋体"/>
                <w:color w:val="000000"/>
                <w:kern w:val="0"/>
                <w:sz w:val="18"/>
                <w:szCs w:val="18"/>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BA49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财政专户管理资金</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6A2D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C64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D775F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765E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8CC3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02B8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53" w:type="pct"/>
            <w:vMerge w:val="continue"/>
            <w:tcBorders>
              <w:top w:val="single" w:color="000000" w:sz="4" w:space="0"/>
              <w:left w:val="single" w:color="000000" w:sz="4" w:space="0"/>
              <w:bottom w:val="single" w:color="000000" w:sz="4" w:space="0"/>
              <w:right w:val="single" w:color="000000" w:sz="4" w:space="0"/>
            </w:tcBorders>
            <w:vAlign w:val="center"/>
          </w:tcPr>
          <w:p w14:paraId="2AFC04B4">
            <w:pPr>
              <w:widowControl/>
              <w:jc w:val="left"/>
              <w:rPr>
                <w:rFonts w:hint="eastAsia" w:ascii="黑体" w:hAnsi="黑体" w:eastAsia="宋体" w:cs="宋体"/>
                <w:i/>
                <w:iCs/>
                <w:color w:val="000000"/>
                <w:kern w:val="0"/>
                <w:sz w:val="18"/>
                <w:szCs w:val="18"/>
              </w:rPr>
            </w:pPr>
          </w:p>
        </w:tc>
      </w:tr>
      <w:tr w14:paraId="4459D04A">
        <w:tblPrEx>
          <w:tblCellMar>
            <w:top w:w="0" w:type="dxa"/>
            <w:left w:w="108" w:type="dxa"/>
            <w:bottom w:w="0" w:type="dxa"/>
            <w:right w:w="108" w:type="dxa"/>
          </w:tblCellMar>
        </w:tblPrEx>
        <w:trPr>
          <w:trHeight w:val="360" w:hRule="atLeast"/>
        </w:trPr>
        <w:tc>
          <w:tcPr>
            <w:tcW w:w="774" w:type="pct"/>
            <w:vMerge w:val="continue"/>
            <w:tcBorders>
              <w:top w:val="single" w:color="000000" w:sz="4" w:space="0"/>
              <w:left w:val="single" w:color="000000" w:sz="4" w:space="0"/>
              <w:bottom w:val="single" w:color="000000" w:sz="4" w:space="0"/>
              <w:right w:val="single" w:color="000000" w:sz="4" w:space="0"/>
            </w:tcBorders>
            <w:vAlign w:val="center"/>
          </w:tcPr>
          <w:p w14:paraId="0D39DE1D">
            <w:pPr>
              <w:widowControl/>
              <w:jc w:val="left"/>
              <w:rPr>
                <w:rFonts w:ascii="宋体" w:hAnsi="宋体" w:eastAsia="宋体" w:cs="宋体"/>
                <w:color w:val="000000"/>
                <w:kern w:val="0"/>
                <w:sz w:val="18"/>
                <w:szCs w:val="18"/>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970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单位资金</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7805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01D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EF0E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1D8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049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2D5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53" w:type="pct"/>
            <w:vMerge w:val="continue"/>
            <w:tcBorders>
              <w:top w:val="single" w:color="000000" w:sz="4" w:space="0"/>
              <w:left w:val="single" w:color="000000" w:sz="4" w:space="0"/>
              <w:bottom w:val="single" w:color="000000" w:sz="4" w:space="0"/>
              <w:right w:val="single" w:color="000000" w:sz="4" w:space="0"/>
            </w:tcBorders>
            <w:vAlign w:val="center"/>
          </w:tcPr>
          <w:p w14:paraId="54AB3231">
            <w:pPr>
              <w:widowControl/>
              <w:jc w:val="left"/>
              <w:rPr>
                <w:rFonts w:hint="eastAsia" w:ascii="黑体" w:hAnsi="黑体" w:eastAsia="宋体" w:cs="宋体"/>
                <w:i/>
                <w:iCs/>
                <w:color w:val="000000"/>
                <w:kern w:val="0"/>
                <w:sz w:val="18"/>
                <w:szCs w:val="18"/>
              </w:rPr>
            </w:pPr>
          </w:p>
        </w:tc>
      </w:tr>
      <w:tr w14:paraId="1753DAE9">
        <w:tblPrEx>
          <w:tblCellMar>
            <w:top w:w="0" w:type="dxa"/>
            <w:left w:w="108" w:type="dxa"/>
            <w:bottom w:w="0" w:type="dxa"/>
            <w:right w:w="108" w:type="dxa"/>
          </w:tblCellMar>
        </w:tblPrEx>
        <w:trPr>
          <w:trHeight w:val="338" w:hRule="atLeast"/>
        </w:trPr>
        <w:tc>
          <w:tcPr>
            <w:tcW w:w="774" w:type="pct"/>
            <w:vMerge w:val="continue"/>
            <w:tcBorders>
              <w:top w:val="single" w:color="000000" w:sz="4" w:space="0"/>
              <w:left w:val="single" w:color="000000" w:sz="4" w:space="0"/>
              <w:bottom w:val="single" w:color="000000" w:sz="4" w:space="0"/>
              <w:right w:val="single" w:color="000000" w:sz="4" w:space="0"/>
            </w:tcBorders>
            <w:vAlign w:val="center"/>
          </w:tcPr>
          <w:p w14:paraId="03A88B8E">
            <w:pPr>
              <w:widowControl/>
              <w:jc w:val="left"/>
              <w:rPr>
                <w:rFonts w:ascii="宋体" w:hAnsi="宋体" w:eastAsia="宋体" w:cs="宋体"/>
                <w:color w:val="000000"/>
                <w:kern w:val="0"/>
                <w:sz w:val="18"/>
                <w:szCs w:val="18"/>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CA7F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其他资金</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00898">
            <w:pPr>
              <w:widowControl/>
              <w:jc w:val="center"/>
              <w:rPr>
                <w:rFonts w:ascii="微软雅黑" w:hAnsi="微软雅黑" w:eastAsia="微软雅黑" w:cs="宋体"/>
                <w:i/>
                <w:iCs/>
                <w:color w:val="000000"/>
                <w:kern w:val="0"/>
                <w:sz w:val="16"/>
                <w:szCs w:val="16"/>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0ADB">
            <w:pPr>
              <w:widowControl/>
              <w:jc w:val="center"/>
              <w:rPr>
                <w:rFonts w:ascii="微软雅黑" w:hAnsi="微软雅黑" w:eastAsia="微软雅黑" w:cs="宋体"/>
                <w:i/>
                <w:iCs/>
                <w:color w:val="000000"/>
                <w:kern w:val="0"/>
                <w:sz w:val="16"/>
                <w:szCs w:val="16"/>
              </w:rPr>
            </w:pPr>
          </w:p>
        </w:tc>
        <w:tc>
          <w:tcPr>
            <w:tcW w:w="7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18780">
            <w:pPr>
              <w:widowControl/>
              <w:jc w:val="center"/>
              <w:rPr>
                <w:rFonts w:ascii="微软雅黑" w:hAnsi="微软雅黑" w:eastAsia="微软雅黑" w:cs="宋体"/>
                <w:i/>
                <w:iCs/>
                <w:color w:val="000000"/>
                <w:kern w:val="0"/>
                <w:sz w:val="16"/>
                <w:szCs w:val="16"/>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1E2F0">
            <w:pPr>
              <w:widowControl/>
              <w:jc w:val="center"/>
              <w:rPr>
                <w:rFonts w:ascii="微软雅黑" w:hAnsi="微软雅黑" w:eastAsia="微软雅黑" w:cs="宋体"/>
                <w:i/>
                <w:iCs/>
                <w:color w:val="000000"/>
                <w:kern w:val="0"/>
                <w:sz w:val="16"/>
                <w:szCs w:val="16"/>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FE6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77AC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53" w:type="pct"/>
            <w:vMerge w:val="continue"/>
            <w:tcBorders>
              <w:top w:val="single" w:color="000000" w:sz="4" w:space="0"/>
              <w:left w:val="single" w:color="000000" w:sz="4" w:space="0"/>
              <w:bottom w:val="single" w:color="000000" w:sz="4" w:space="0"/>
              <w:right w:val="single" w:color="000000" w:sz="4" w:space="0"/>
            </w:tcBorders>
            <w:vAlign w:val="center"/>
          </w:tcPr>
          <w:p w14:paraId="1976D90E">
            <w:pPr>
              <w:widowControl/>
              <w:jc w:val="left"/>
              <w:rPr>
                <w:rFonts w:hint="eastAsia" w:ascii="黑体" w:hAnsi="黑体" w:eastAsia="宋体" w:cs="宋体"/>
                <w:i/>
                <w:iCs/>
                <w:color w:val="000000"/>
                <w:kern w:val="0"/>
                <w:sz w:val="18"/>
                <w:szCs w:val="18"/>
              </w:rPr>
            </w:pPr>
          </w:p>
        </w:tc>
      </w:tr>
      <w:tr w14:paraId="03592FF9">
        <w:tblPrEx>
          <w:tblCellMar>
            <w:top w:w="0" w:type="dxa"/>
            <w:left w:w="108" w:type="dxa"/>
            <w:bottom w:w="0" w:type="dxa"/>
            <w:right w:w="108" w:type="dxa"/>
          </w:tblCellMar>
        </w:tblPrEx>
        <w:trPr>
          <w:trHeight w:val="454" w:hRule="atLeast"/>
        </w:trPr>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173D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绩效指标（90分）</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95D2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一级指标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872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二级指标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B69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三级指标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5D1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指标性质</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0C1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06AE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度量单位</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E8C1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完成值</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B1F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1FA5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7133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未完成原因分析</w:t>
            </w:r>
          </w:p>
        </w:tc>
      </w:tr>
      <w:tr w14:paraId="41A8E257">
        <w:tblPrEx>
          <w:tblCellMar>
            <w:top w:w="0" w:type="dxa"/>
            <w:left w:w="108" w:type="dxa"/>
            <w:bottom w:w="0" w:type="dxa"/>
            <w:right w:w="108" w:type="dxa"/>
          </w:tblCellMar>
        </w:tblPrEx>
        <w:trPr>
          <w:trHeight w:val="338" w:hRule="atLeast"/>
        </w:trPr>
        <w:tc>
          <w:tcPr>
            <w:tcW w:w="774" w:type="pct"/>
            <w:vMerge w:val="continue"/>
            <w:tcBorders>
              <w:top w:val="single" w:color="000000" w:sz="4" w:space="0"/>
              <w:left w:val="single" w:color="000000" w:sz="4" w:space="0"/>
              <w:bottom w:val="single" w:color="000000" w:sz="4" w:space="0"/>
              <w:right w:val="single" w:color="000000" w:sz="4" w:space="0"/>
            </w:tcBorders>
            <w:vAlign w:val="center"/>
          </w:tcPr>
          <w:p w14:paraId="55C08ECB">
            <w:pPr>
              <w:widowControl/>
              <w:jc w:val="left"/>
              <w:rPr>
                <w:rFonts w:ascii="宋体" w:hAnsi="宋体" w:eastAsia="宋体" w:cs="宋体"/>
                <w:color w:val="000000"/>
                <w:kern w:val="0"/>
                <w:sz w:val="18"/>
                <w:szCs w:val="18"/>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01C0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784E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AFA1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偿还金额</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36C3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CC3A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146.02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2D5B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FDF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146.02</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6BD1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3F18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45593">
            <w:pPr>
              <w:widowControl/>
              <w:jc w:val="center"/>
              <w:rPr>
                <w:rFonts w:ascii="微软雅黑" w:hAnsi="微软雅黑" w:eastAsia="微软雅黑" w:cs="宋体"/>
                <w:i/>
                <w:iCs/>
                <w:color w:val="000000"/>
                <w:kern w:val="0"/>
                <w:sz w:val="16"/>
                <w:szCs w:val="16"/>
              </w:rPr>
            </w:pPr>
          </w:p>
        </w:tc>
      </w:tr>
      <w:tr w14:paraId="53BA0FE3">
        <w:tblPrEx>
          <w:tblCellMar>
            <w:top w:w="0" w:type="dxa"/>
            <w:left w:w="108" w:type="dxa"/>
            <w:bottom w:w="0" w:type="dxa"/>
            <w:right w:w="108" w:type="dxa"/>
          </w:tblCellMar>
        </w:tblPrEx>
        <w:trPr>
          <w:trHeight w:val="338" w:hRule="atLeast"/>
        </w:trPr>
        <w:tc>
          <w:tcPr>
            <w:tcW w:w="774" w:type="pct"/>
            <w:vMerge w:val="continue"/>
            <w:tcBorders>
              <w:top w:val="single" w:color="000000" w:sz="4" w:space="0"/>
              <w:left w:val="single" w:color="000000" w:sz="4" w:space="0"/>
              <w:bottom w:val="single" w:color="000000" w:sz="4" w:space="0"/>
              <w:right w:val="single" w:color="000000" w:sz="4" w:space="0"/>
            </w:tcBorders>
            <w:vAlign w:val="center"/>
          </w:tcPr>
          <w:p w14:paraId="176B290A">
            <w:pPr>
              <w:widowControl/>
              <w:jc w:val="left"/>
              <w:rPr>
                <w:rFonts w:ascii="宋体" w:hAnsi="宋体" w:eastAsia="宋体" w:cs="宋体"/>
                <w:color w:val="000000"/>
                <w:kern w:val="0"/>
                <w:sz w:val="18"/>
                <w:szCs w:val="18"/>
              </w:rPr>
            </w:pP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14:paraId="7B869DB4">
            <w:pPr>
              <w:widowControl/>
              <w:jc w:val="left"/>
              <w:rPr>
                <w:rFonts w:ascii="宋体" w:hAnsi="宋体" w:eastAsia="宋体" w:cs="宋体"/>
                <w:color w:val="000000"/>
                <w:kern w:val="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D2BA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时效指标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BB1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按时偿还</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A9D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定性</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3D58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46253">
            <w:pPr>
              <w:widowControl/>
              <w:jc w:val="center"/>
              <w:rPr>
                <w:rFonts w:ascii="宋体" w:hAnsi="宋体" w:eastAsia="宋体" w:cs="宋体"/>
                <w:color w:val="000000"/>
                <w:kern w:val="0"/>
                <w:sz w:val="18"/>
                <w:szCs w:val="18"/>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B11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AE9B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735B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9C774">
            <w:pPr>
              <w:widowControl/>
              <w:jc w:val="center"/>
              <w:rPr>
                <w:rFonts w:ascii="微软雅黑" w:hAnsi="微软雅黑" w:eastAsia="微软雅黑" w:cs="宋体"/>
                <w:i/>
                <w:iCs/>
                <w:color w:val="000000"/>
                <w:kern w:val="0"/>
                <w:sz w:val="16"/>
                <w:szCs w:val="16"/>
              </w:rPr>
            </w:pPr>
          </w:p>
        </w:tc>
      </w:tr>
      <w:tr w14:paraId="0F4CB31D">
        <w:tblPrEx>
          <w:tblCellMar>
            <w:top w:w="0" w:type="dxa"/>
            <w:left w:w="108" w:type="dxa"/>
            <w:bottom w:w="0" w:type="dxa"/>
            <w:right w:w="108" w:type="dxa"/>
          </w:tblCellMar>
        </w:tblPrEx>
        <w:trPr>
          <w:trHeight w:val="338" w:hRule="atLeast"/>
        </w:trPr>
        <w:tc>
          <w:tcPr>
            <w:tcW w:w="774" w:type="pct"/>
            <w:vMerge w:val="continue"/>
            <w:tcBorders>
              <w:top w:val="single" w:color="000000" w:sz="4" w:space="0"/>
              <w:left w:val="single" w:color="000000" w:sz="4" w:space="0"/>
              <w:bottom w:val="single" w:color="000000" w:sz="4" w:space="0"/>
              <w:right w:val="single" w:color="000000" w:sz="4" w:space="0"/>
            </w:tcBorders>
            <w:vAlign w:val="center"/>
          </w:tcPr>
          <w:p w14:paraId="6BB41936">
            <w:pPr>
              <w:widowControl/>
              <w:jc w:val="left"/>
              <w:rPr>
                <w:rFonts w:ascii="宋体" w:hAnsi="宋体" w:eastAsia="宋体" w:cs="宋体"/>
                <w:color w:val="000000"/>
                <w:kern w:val="0"/>
                <w:sz w:val="18"/>
                <w:szCs w:val="18"/>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1832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效益指标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41C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社会效益指标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7794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维护政府公信力</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D58E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9E3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A386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3B4F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95</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DCC3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C1B2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8AEF">
            <w:pPr>
              <w:widowControl/>
              <w:jc w:val="center"/>
              <w:rPr>
                <w:rFonts w:ascii="微软雅黑" w:hAnsi="微软雅黑" w:eastAsia="微软雅黑" w:cs="宋体"/>
                <w:i/>
                <w:iCs/>
                <w:color w:val="000000"/>
                <w:kern w:val="0"/>
                <w:sz w:val="16"/>
                <w:szCs w:val="16"/>
              </w:rPr>
            </w:pPr>
          </w:p>
        </w:tc>
      </w:tr>
      <w:tr w14:paraId="5AC5049B">
        <w:tblPrEx>
          <w:tblCellMar>
            <w:top w:w="0" w:type="dxa"/>
            <w:left w:w="108" w:type="dxa"/>
            <w:bottom w:w="0" w:type="dxa"/>
            <w:right w:w="108" w:type="dxa"/>
          </w:tblCellMar>
        </w:tblPrEx>
        <w:trPr>
          <w:trHeight w:val="454" w:hRule="atLeast"/>
        </w:trPr>
        <w:tc>
          <w:tcPr>
            <w:tcW w:w="774" w:type="pct"/>
            <w:vMerge w:val="continue"/>
            <w:tcBorders>
              <w:top w:val="single" w:color="000000" w:sz="4" w:space="0"/>
              <w:left w:val="single" w:color="000000" w:sz="4" w:space="0"/>
              <w:bottom w:val="single" w:color="000000" w:sz="4" w:space="0"/>
              <w:right w:val="single" w:color="000000" w:sz="4" w:space="0"/>
            </w:tcBorders>
            <w:vAlign w:val="center"/>
          </w:tcPr>
          <w:p w14:paraId="4F927090">
            <w:pPr>
              <w:widowControl/>
              <w:jc w:val="left"/>
              <w:rPr>
                <w:rFonts w:ascii="宋体" w:hAnsi="宋体" w:eastAsia="宋体" w:cs="宋体"/>
                <w:color w:val="000000"/>
                <w:kern w:val="0"/>
                <w:sz w:val="18"/>
                <w:szCs w:val="18"/>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6EC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918E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服务对象满意度指标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FEEB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企业满意度</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D7D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B72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319A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5713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95</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64C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17C1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6BD85">
            <w:pPr>
              <w:widowControl/>
              <w:jc w:val="center"/>
              <w:rPr>
                <w:rFonts w:ascii="微软雅黑" w:hAnsi="微软雅黑" w:eastAsia="微软雅黑" w:cs="宋体"/>
                <w:i/>
                <w:iCs/>
                <w:color w:val="000000"/>
                <w:kern w:val="0"/>
                <w:sz w:val="16"/>
                <w:szCs w:val="16"/>
              </w:rPr>
            </w:pPr>
          </w:p>
        </w:tc>
      </w:tr>
      <w:tr w14:paraId="341FBD44">
        <w:tblPrEx>
          <w:tblCellMar>
            <w:top w:w="0" w:type="dxa"/>
            <w:left w:w="108" w:type="dxa"/>
            <w:bottom w:w="0" w:type="dxa"/>
            <w:right w:w="108" w:type="dxa"/>
          </w:tblCellMar>
        </w:tblPrEx>
        <w:trPr>
          <w:trHeight w:val="285" w:hRule="atLeast"/>
        </w:trPr>
        <w:tc>
          <w:tcPr>
            <w:tcW w:w="352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E6851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5C4C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F972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62C38">
            <w:pPr>
              <w:widowControl/>
              <w:jc w:val="left"/>
              <w:rPr>
                <w:rFonts w:ascii="宋体" w:hAnsi="宋体" w:eastAsia="宋体" w:cs="宋体"/>
                <w:color w:val="000000"/>
                <w:kern w:val="0"/>
                <w:sz w:val="18"/>
                <w:szCs w:val="18"/>
              </w:rPr>
            </w:pPr>
          </w:p>
        </w:tc>
      </w:tr>
      <w:tr w14:paraId="56C45E49">
        <w:tblPrEx>
          <w:tblCellMar>
            <w:top w:w="0" w:type="dxa"/>
            <w:left w:w="108" w:type="dxa"/>
            <w:bottom w:w="0" w:type="dxa"/>
            <w:right w:w="108" w:type="dxa"/>
          </w:tblCellMar>
        </w:tblPrEx>
        <w:trPr>
          <w:trHeight w:val="454" w:hRule="atLeast"/>
        </w:trPr>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493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评价结论</w:t>
            </w:r>
          </w:p>
        </w:tc>
        <w:tc>
          <w:tcPr>
            <w:tcW w:w="422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63D2D8">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按期支付了地方政府债券利息，缓解学院偿债压力。</w:t>
            </w:r>
          </w:p>
        </w:tc>
      </w:tr>
      <w:tr w14:paraId="68E65FB3">
        <w:tblPrEx>
          <w:tblCellMar>
            <w:top w:w="0" w:type="dxa"/>
            <w:left w:w="108" w:type="dxa"/>
            <w:bottom w:w="0" w:type="dxa"/>
            <w:right w:w="108" w:type="dxa"/>
          </w:tblCellMar>
        </w:tblPrEx>
        <w:trPr>
          <w:trHeight w:val="574" w:hRule="atLeast"/>
        </w:trPr>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6C0C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存在问题</w:t>
            </w:r>
          </w:p>
        </w:tc>
        <w:tc>
          <w:tcPr>
            <w:tcW w:w="422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406D0F">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本项目严格按预算、按计划执行，执行过程严格按相关政策流程，未发现问题。</w:t>
            </w:r>
          </w:p>
        </w:tc>
      </w:tr>
      <w:tr w14:paraId="47A3F533">
        <w:tblPrEx>
          <w:tblCellMar>
            <w:top w:w="0" w:type="dxa"/>
            <w:left w:w="108" w:type="dxa"/>
            <w:bottom w:w="0" w:type="dxa"/>
            <w:right w:w="108" w:type="dxa"/>
          </w:tblCellMar>
        </w:tblPrEx>
        <w:trPr>
          <w:trHeight w:val="400" w:hRule="atLeast"/>
        </w:trPr>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7D72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改进措施</w:t>
            </w:r>
          </w:p>
        </w:tc>
        <w:tc>
          <w:tcPr>
            <w:tcW w:w="422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B09576">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7021593F">
        <w:tblPrEx>
          <w:tblCellMar>
            <w:top w:w="0" w:type="dxa"/>
            <w:left w:w="108" w:type="dxa"/>
            <w:bottom w:w="0" w:type="dxa"/>
            <w:right w:w="108" w:type="dxa"/>
          </w:tblCellMar>
        </w:tblPrEx>
        <w:trPr>
          <w:trHeight w:val="285" w:hRule="atLeast"/>
        </w:trPr>
        <w:tc>
          <w:tcPr>
            <w:tcW w:w="25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753009">
            <w:pPr>
              <w:widowControl/>
              <w:jc w:val="left"/>
              <w:rPr>
                <w:rFonts w:hint="eastAsia" w:ascii="黑体" w:hAnsi="黑体" w:eastAsia="宋体" w:cs="宋体"/>
                <w:color w:val="000000"/>
                <w:kern w:val="0"/>
                <w:sz w:val="18"/>
                <w:szCs w:val="18"/>
              </w:rPr>
            </w:pPr>
            <w:r>
              <w:rPr>
                <w:rFonts w:ascii="黑体" w:hAnsi="黑体" w:eastAsia="宋体" w:cs="宋体"/>
                <w:color w:val="000000"/>
                <w:kern w:val="0"/>
                <w:sz w:val="18"/>
                <w:szCs w:val="18"/>
              </w:rPr>
              <w:t>项目负责人：李秀英</w:t>
            </w:r>
          </w:p>
        </w:tc>
        <w:tc>
          <w:tcPr>
            <w:tcW w:w="249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F3D854">
            <w:pPr>
              <w:widowControl/>
              <w:jc w:val="left"/>
              <w:rPr>
                <w:rFonts w:hint="eastAsia" w:ascii="黑体" w:hAnsi="黑体" w:eastAsia="宋体" w:cs="宋体"/>
                <w:color w:val="000000"/>
                <w:kern w:val="0"/>
                <w:sz w:val="18"/>
                <w:szCs w:val="18"/>
              </w:rPr>
            </w:pPr>
            <w:r>
              <w:rPr>
                <w:rFonts w:ascii="黑体" w:hAnsi="黑体" w:eastAsia="宋体" w:cs="宋体"/>
                <w:color w:val="000000"/>
                <w:kern w:val="0"/>
                <w:sz w:val="18"/>
                <w:szCs w:val="18"/>
              </w:rPr>
              <w:t>财务负责人：张玲</w:t>
            </w:r>
          </w:p>
        </w:tc>
      </w:tr>
    </w:tbl>
    <w:p w14:paraId="49D27E5C">
      <w:pPr>
        <w:spacing w:line="600" w:lineRule="exact"/>
        <w:jc w:val="center"/>
        <w:outlineLvl w:val="0"/>
        <w:rPr>
          <w:rFonts w:ascii="黑体" w:hAnsi="黑体" w:eastAsia="黑体"/>
          <w:color w:val="000000"/>
          <w:sz w:val="44"/>
          <w:szCs w:val="44"/>
        </w:rPr>
      </w:pPr>
    </w:p>
    <w:tbl>
      <w:tblPr>
        <w:tblStyle w:val="13"/>
        <w:tblW w:w="6072" w:type="pct"/>
        <w:tblInd w:w="-885" w:type="dxa"/>
        <w:tblLayout w:type="autofit"/>
        <w:tblCellMar>
          <w:top w:w="0" w:type="dxa"/>
          <w:left w:w="108" w:type="dxa"/>
          <w:bottom w:w="0" w:type="dxa"/>
          <w:right w:w="108" w:type="dxa"/>
        </w:tblCellMar>
      </w:tblPr>
      <w:tblGrid>
        <w:gridCol w:w="1129"/>
        <w:gridCol w:w="323"/>
        <w:gridCol w:w="956"/>
        <w:gridCol w:w="1037"/>
        <w:gridCol w:w="1200"/>
        <w:gridCol w:w="396"/>
        <w:gridCol w:w="853"/>
        <w:gridCol w:w="399"/>
        <w:gridCol w:w="853"/>
        <w:gridCol w:w="220"/>
        <w:gridCol w:w="267"/>
        <w:gridCol w:w="396"/>
        <w:gridCol w:w="2320"/>
      </w:tblGrid>
      <w:tr w14:paraId="2953B1BD">
        <w:tblPrEx>
          <w:tblCellMar>
            <w:top w:w="0" w:type="dxa"/>
            <w:left w:w="108" w:type="dxa"/>
            <w:bottom w:w="0" w:type="dxa"/>
            <w:right w:w="108" w:type="dxa"/>
          </w:tblCellMar>
        </w:tblPrEx>
        <w:trPr>
          <w:trHeight w:val="557"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E23DAB7">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64EB41E2">
        <w:tblPrEx>
          <w:tblCellMar>
            <w:top w:w="0" w:type="dxa"/>
            <w:left w:w="108" w:type="dxa"/>
            <w:bottom w:w="0" w:type="dxa"/>
            <w:right w:w="108" w:type="dxa"/>
          </w:tblCellMar>
        </w:tblPrEx>
        <w:trPr>
          <w:trHeight w:val="285" w:hRule="atLeast"/>
        </w:trPr>
        <w:tc>
          <w:tcPr>
            <w:tcW w:w="11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33E5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3836" w:type="pct"/>
            <w:gridSpan w:val="10"/>
            <w:tcBorders>
              <w:top w:val="single" w:color="000000" w:sz="4" w:space="0"/>
              <w:left w:val="nil"/>
              <w:bottom w:val="single" w:color="000000" w:sz="4" w:space="0"/>
              <w:right w:val="single" w:color="000000" w:sz="4" w:space="0"/>
            </w:tcBorders>
            <w:shd w:val="clear" w:color="auto" w:fill="auto"/>
            <w:vAlign w:val="center"/>
          </w:tcPr>
          <w:p w14:paraId="6B06A85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51030023T000009218509-学生资助补助经费</w:t>
            </w:r>
          </w:p>
        </w:tc>
      </w:tr>
      <w:tr w14:paraId="21719FA5">
        <w:tblPrEx>
          <w:tblCellMar>
            <w:top w:w="0" w:type="dxa"/>
            <w:left w:w="108" w:type="dxa"/>
            <w:bottom w:w="0" w:type="dxa"/>
            <w:right w:w="108" w:type="dxa"/>
          </w:tblCellMar>
        </w:tblPrEx>
        <w:trPr>
          <w:trHeight w:val="514" w:hRule="atLeast"/>
        </w:trPr>
        <w:tc>
          <w:tcPr>
            <w:tcW w:w="11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0CF7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主管部门</w:t>
            </w:r>
          </w:p>
        </w:tc>
        <w:tc>
          <w:tcPr>
            <w:tcW w:w="1877" w:type="pct"/>
            <w:gridSpan w:val="5"/>
            <w:tcBorders>
              <w:top w:val="single" w:color="000000" w:sz="4" w:space="0"/>
              <w:left w:val="nil"/>
              <w:bottom w:val="single" w:color="000000" w:sz="4" w:space="0"/>
              <w:right w:val="single" w:color="000000" w:sz="4" w:space="0"/>
            </w:tcBorders>
            <w:shd w:val="clear" w:color="auto" w:fill="auto"/>
            <w:vAlign w:val="center"/>
          </w:tcPr>
          <w:p w14:paraId="602B34E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自贡市人力资源和社会保障局部门</w:t>
            </w:r>
          </w:p>
        </w:tc>
        <w:tc>
          <w:tcPr>
            <w:tcW w:w="518" w:type="pct"/>
            <w:gridSpan w:val="2"/>
            <w:tcBorders>
              <w:top w:val="nil"/>
              <w:left w:val="nil"/>
              <w:bottom w:val="nil"/>
              <w:right w:val="nil"/>
            </w:tcBorders>
            <w:shd w:val="clear" w:color="auto" w:fill="auto"/>
            <w:vAlign w:val="center"/>
          </w:tcPr>
          <w:p w14:paraId="6F69178C">
            <w:pPr>
              <w:widowControl/>
              <w:jc w:val="left"/>
              <w:rPr>
                <w:rFonts w:hint="eastAsia" w:ascii="黑体" w:hAnsi="黑体" w:eastAsia="宋体" w:cs="宋体"/>
                <w:color w:val="000000"/>
                <w:kern w:val="0"/>
                <w:sz w:val="18"/>
                <w:szCs w:val="18"/>
              </w:rPr>
            </w:pPr>
            <w:r>
              <w:rPr>
                <w:rFonts w:ascii="黑体" w:hAnsi="黑体" w:eastAsia="宋体" w:cs="宋体"/>
                <w:color w:val="000000"/>
                <w:kern w:val="0"/>
                <w:sz w:val="18"/>
                <w:szCs w:val="18"/>
              </w:rPr>
              <w:t>实施单位 （盖章）</w:t>
            </w:r>
          </w:p>
        </w:tc>
        <w:tc>
          <w:tcPr>
            <w:tcW w:w="14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A2BA3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自贡市职业培训学院</w:t>
            </w:r>
          </w:p>
        </w:tc>
      </w:tr>
      <w:tr w14:paraId="326E3214">
        <w:tblPrEx>
          <w:tblCellMar>
            <w:top w:w="0" w:type="dxa"/>
            <w:left w:w="108" w:type="dxa"/>
            <w:bottom w:w="0" w:type="dxa"/>
            <w:right w:w="108" w:type="dxa"/>
          </w:tblCellMar>
        </w:tblPrEx>
        <w:trPr>
          <w:trHeight w:val="285" w:hRule="atLeast"/>
        </w:trPr>
        <w:tc>
          <w:tcPr>
            <w:tcW w:w="546" w:type="pct"/>
            <w:vMerge w:val="restart"/>
            <w:tcBorders>
              <w:top w:val="nil"/>
              <w:left w:val="single" w:color="000000" w:sz="4" w:space="0"/>
              <w:bottom w:val="single" w:color="000000" w:sz="4" w:space="0"/>
              <w:right w:val="single" w:color="000000" w:sz="4" w:space="0"/>
            </w:tcBorders>
            <w:shd w:val="clear" w:color="auto" w:fill="auto"/>
            <w:vAlign w:val="center"/>
          </w:tcPr>
          <w:p w14:paraId="40FF45F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项目基本情况</w:t>
            </w:r>
          </w:p>
        </w:tc>
        <w:tc>
          <w:tcPr>
            <w:tcW w:w="618"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520B3E1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1.项目年度目标完成情况</w:t>
            </w:r>
          </w:p>
        </w:tc>
        <w:tc>
          <w:tcPr>
            <w:tcW w:w="1877" w:type="pct"/>
            <w:gridSpan w:val="5"/>
            <w:tcBorders>
              <w:top w:val="single" w:color="000000" w:sz="4" w:space="0"/>
              <w:left w:val="nil"/>
              <w:bottom w:val="single" w:color="000000" w:sz="4" w:space="0"/>
              <w:right w:val="single" w:color="000000" w:sz="4" w:space="0"/>
            </w:tcBorders>
            <w:shd w:val="clear" w:color="auto" w:fill="auto"/>
            <w:vAlign w:val="center"/>
          </w:tcPr>
          <w:p w14:paraId="3D1309C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项目年度目标</w:t>
            </w:r>
          </w:p>
        </w:tc>
        <w:tc>
          <w:tcPr>
            <w:tcW w:w="1959" w:type="pct"/>
            <w:gridSpan w:val="5"/>
            <w:tcBorders>
              <w:top w:val="single" w:color="000000" w:sz="4" w:space="0"/>
              <w:left w:val="nil"/>
              <w:bottom w:val="single" w:color="000000" w:sz="4" w:space="0"/>
              <w:right w:val="single" w:color="000000" w:sz="4" w:space="0"/>
            </w:tcBorders>
            <w:shd w:val="clear" w:color="auto" w:fill="auto"/>
            <w:vAlign w:val="center"/>
          </w:tcPr>
          <w:p w14:paraId="5DC02BC2">
            <w:pPr>
              <w:widowControl/>
              <w:jc w:val="center"/>
              <w:rPr>
                <w:rFonts w:hint="eastAsia" w:ascii="黑体" w:hAnsi="黑体" w:eastAsia="宋体" w:cs="宋体"/>
                <w:color w:val="000000"/>
                <w:kern w:val="0"/>
                <w:sz w:val="18"/>
                <w:szCs w:val="18"/>
              </w:rPr>
            </w:pPr>
            <w:r>
              <w:rPr>
                <w:rFonts w:ascii="黑体" w:hAnsi="黑体" w:eastAsia="宋体" w:cs="宋体"/>
                <w:color w:val="000000"/>
                <w:kern w:val="0"/>
                <w:sz w:val="18"/>
                <w:szCs w:val="18"/>
              </w:rPr>
              <w:t>年度目标完成情况</w:t>
            </w:r>
          </w:p>
        </w:tc>
      </w:tr>
      <w:tr w14:paraId="3330FDDE">
        <w:tblPrEx>
          <w:tblCellMar>
            <w:top w:w="0" w:type="dxa"/>
            <w:left w:w="108" w:type="dxa"/>
            <w:bottom w:w="0" w:type="dxa"/>
            <w:right w:w="108" w:type="dxa"/>
          </w:tblCellMar>
        </w:tblPrEx>
        <w:trPr>
          <w:trHeight w:val="1129" w:hRule="atLeast"/>
        </w:trPr>
        <w:tc>
          <w:tcPr>
            <w:tcW w:w="546" w:type="pct"/>
            <w:vMerge w:val="continue"/>
            <w:tcBorders>
              <w:top w:val="nil"/>
              <w:left w:val="single" w:color="000000" w:sz="4" w:space="0"/>
              <w:bottom w:val="single" w:color="000000" w:sz="4" w:space="0"/>
              <w:right w:val="single" w:color="000000" w:sz="4" w:space="0"/>
            </w:tcBorders>
            <w:vAlign w:val="center"/>
          </w:tcPr>
          <w:p w14:paraId="7796164D">
            <w:pPr>
              <w:widowControl/>
              <w:jc w:val="left"/>
              <w:rPr>
                <w:rFonts w:ascii="宋体" w:hAnsi="宋体" w:eastAsia="宋体" w:cs="宋体"/>
                <w:color w:val="000000"/>
                <w:kern w:val="0"/>
                <w:sz w:val="18"/>
                <w:szCs w:val="18"/>
              </w:rPr>
            </w:pPr>
          </w:p>
        </w:tc>
        <w:tc>
          <w:tcPr>
            <w:tcW w:w="618" w:type="pct"/>
            <w:gridSpan w:val="2"/>
            <w:vMerge w:val="continue"/>
            <w:tcBorders>
              <w:top w:val="nil"/>
              <w:left w:val="single" w:color="000000" w:sz="4" w:space="0"/>
              <w:bottom w:val="single" w:color="000000" w:sz="4" w:space="0"/>
              <w:right w:val="single" w:color="000000" w:sz="4" w:space="0"/>
            </w:tcBorders>
            <w:vAlign w:val="center"/>
          </w:tcPr>
          <w:p w14:paraId="3BF1B514">
            <w:pPr>
              <w:widowControl/>
              <w:jc w:val="left"/>
              <w:rPr>
                <w:rFonts w:ascii="宋体" w:hAnsi="宋体" w:eastAsia="宋体" w:cs="宋体"/>
                <w:color w:val="000000"/>
                <w:kern w:val="0"/>
                <w:sz w:val="18"/>
                <w:szCs w:val="18"/>
              </w:rPr>
            </w:pPr>
          </w:p>
        </w:tc>
        <w:tc>
          <w:tcPr>
            <w:tcW w:w="1877" w:type="pct"/>
            <w:gridSpan w:val="5"/>
            <w:tcBorders>
              <w:top w:val="single" w:color="000000" w:sz="4" w:space="0"/>
              <w:left w:val="nil"/>
              <w:bottom w:val="single" w:color="000000" w:sz="4" w:space="0"/>
              <w:right w:val="single" w:color="000000" w:sz="4" w:space="0"/>
            </w:tcBorders>
            <w:shd w:val="clear" w:color="auto" w:fill="auto"/>
            <w:vAlign w:val="center"/>
          </w:tcPr>
          <w:p w14:paraId="41D5341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2023年中等职业教育学生资助补助经费（中央）（免学费）用于学院公用经费补贴，保障学院正常教育教学秩序，加强专业建设，提高教学质量，更好地培养输送人才。2023年中等职业教育学生资助补助经费（中央）（奖助学金）30.92万元用于资助困难学生，促进教育公平、发放优秀学生奖学金。</w:t>
            </w:r>
          </w:p>
        </w:tc>
        <w:tc>
          <w:tcPr>
            <w:tcW w:w="1959" w:type="pct"/>
            <w:gridSpan w:val="5"/>
            <w:tcBorders>
              <w:top w:val="single" w:color="000000" w:sz="4" w:space="0"/>
              <w:left w:val="nil"/>
              <w:bottom w:val="single" w:color="000000" w:sz="4" w:space="0"/>
              <w:right w:val="single" w:color="000000" w:sz="4" w:space="0"/>
            </w:tcBorders>
            <w:shd w:val="clear" w:color="auto" w:fill="auto"/>
            <w:vAlign w:val="center"/>
          </w:tcPr>
          <w:p w14:paraId="7ADB75C1">
            <w:pPr>
              <w:widowControl/>
              <w:jc w:val="left"/>
              <w:rPr>
                <w:rFonts w:hint="eastAsia" w:ascii="黑体" w:hAnsi="黑体" w:eastAsia="宋体" w:cs="宋体"/>
                <w:color w:val="000000"/>
                <w:kern w:val="0"/>
                <w:sz w:val="18"/>
                <w:szCs w:val="18"/>
              </w:rPr>
            </w:pPr>
            <w:r>
              <w:rPr>
                <w:rFonts w:ascii="黑体" w:hAnsi="黑体" w:eastAsia="宋体" w:cs="宋体"/>
                <w:color w:val="000000"/>
                <w:kern w:val="0"/>
                <w:sz w:val="18"/>
                <w:szCs w:val="18"/>
              </w:rPr>
              <w:t>免学费用于</w:t>
            </w:r>
            <w:r>
              <w:rPr>
                <w:rFonts w:hint="eastAsia" w:ascii="黑体" w:hAnsi="黑体" w:eastAsia="宋体" w:cs="宋体"/>
                <w:color w:val="000000"/>
                <w:kern w:val="0"/>
                <w:sz w:val="18"/>
                <w:szCs w:val="18"/>
              </w:rPr>
              <w:t>支付</w:t>
            </w:r>
            <w:r>
              <w:rPr>
                <w:rFonts w:ascii="黑体" w:hAnsi="黑体" w:eastAsia="宋体" w:cs="宋体"/>
                <w:color w:val="000000"/>
                <w:kern w:val="0"/>
                <w:sz w:val="18"/>
                <w:szCs w:val="18"/>
              </w:rPr>
              <w:t>学院公用经费，保障学院正常教育教学秩序，加强专业建设，提高了教学能力。</w:t>
            </w:r>
          </w:p>
        </w:tc>
      </w:tr>
      <w:tr w14:paraId="391FC1C3">
        <w:tblPrEx>
          <w:tblCellMar>
            <w:top w:w="0" w:type="dxa"/>
            <w:left w:w="108" w:type="dxa"/>
            <w:bottom w:w="0" w:type="dxa"/>
            <w:right w:w="108" w:type="dxa"/>
          </w:tblCellMar>
        </w:tblPrEx>
        <w:trPr>
          <w:trHeight w:val="694" w:hRule="atLeast"/>
        </w:trPr>
        <w:tc>
          <w:tcPr>
            <w:tcW w:w="546" w:type="pct"/>
            <w:vMerge w:val="continue"/>
            <w:tcBorders>
              <w:top w:val="nil"/>
              <w:left w:val="single" w:color="000000" w:sz="4" w:space="0"/>
              <w:bottom w:val="single" w:color="000000" w:sz="4" w:space="0"/>
              <w:right w:val="single" w:color="000000" w:sz="4" w:space="0"/>
            </w:tcBorders>
            <w:vAlign w:val="center"/>
          </w:tcPr>
          <w:p w14:paraId="315EF55F">
            <w:pPr>
              <w:widowControl/>
              <w:jc w:val="left"/>
              <w:rPr>
                <w:rFonts w:ascii="宋体" w:hAnsi="宋体" w:eastAsia="宋体" w:cs="宋体"/>
                <w:color w:val="000000"/>
                <w:kern w:val="0"/>
                <w:sz w:val="18"/>
                <w:szCs w:val="18"/>
              </w:rPr>
            </w:pPr>
          </w:p>
        </w:tc>
        <w:tc>
          <w:tcPr>
            <w:tcW w:w="618" w:type="pct"/>
            <w:gridSpan w:val="2"/>
            <w:tcBorders>
              <w:top w:val="nil"/>
              <w:left w:val="nil"/>
              <w:bottom w:val="single" w:color="000000" w:sz="4" w:space="0"/>
              <w:right w:val="single" w:color="000000" w:sz="4" w:space="0"/>
            </w:tcBorders>
            <w:shd w:val="clear" w:color="auto" w:fill="auto"/>
            <w:vAlign w:val="center"/>
          </w:tcPr>
          <w:p w14:paraId="5D2FD70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2.项目实施内容及过程概述</w:t>
            </w:r>
          </w:p>
        </w:tc>
        <w:tc>
          <w:tcPr>
            <w:tcW w:w="3836" w:type="pct"/>
            <w:gridSpan w:val="10"/>
            <w:tcBorders>
              <w:top w:val="single" w:color="000000" w:sz="4" w:space="0"/>
              <w:left w:val="nil"/>
              <w:bottom w:val="single" w:color="000000" w:sz="4" w:space="0"/>
              <w:right w:val="single" w:color="000000" w:sz="4" w:space="0"/>
            </w:tcBorders>
            <w:shd w:val="clear" w:color="auto" w:fill="auto"/>
            <w:vAlign w:val="center"/>
          </w:tcPr>
          <w:p w14:paraId="6E917F9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免学费用于支付学院公用经费，保障学院正常教育教学秩序，加强专业建设，提高了教学能力。奖助学金用于资助困难学生，发放优秀学生奖学金，促进教育公平。</w:t>
            </w:r>
          </w:p>
        </w:tc>
      </w:tr>
      <w:tr w14:paraId="013575EA">
        <w:tblPrEx>
          <w:tblCellMar>
            <w:top w:w="0" w:type="dxa"/>
            <w:left w:w="108" w:type="dxa"/>
            <w:bottom w:w="0" w:type="dxa"/>
            <w:right w:w="108" w:type="dxa"/>
          </w:tblCellMar>
        </w:tblPrEx>
        <w:trPr>
          <w:trHeight w:val="360" w:hRule="atLeast"/>
        </w:trPr>
        <w:tc>
          <w:tcPr>
            <w:tcW w:w="546" w:type="pct"/>
            <w:vMerge w:val="restart"/>
            <w:tcBorders>
              <w:top w:val="nil"/>
              <w:left w:val="single" w:color="000000" w:sz="4" w:space="0"/>
              <w:bottom w:val="single" w:color="000000" w:sz="4" w:space="0"/>
              <w:right w:val="single" w:color="000000" w:sz="4" w:space="0"/>
            </w:tcBorders>
            <w:shd w:val="clear" w:color="auto" w:fill="auto"/>
            <w:vAlign w:val="center"/>
          </w:tcPr>
          <w:p w14:paraId="213FFC8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预算执行情况（10分）</w:t>
            </w:r>
          </w:p>
        </w:tc>
        <w:tc>
          <w:tcPr>
            <w:tcW w:w="618" w:type="pct"/>
            <w:gridSpan w:val="2"/>
            <w:tcBorders>
              <w:top w:val="nil"/>
              <w:left w:val="nil"/>
              <w:bottom w:val="single" w:color="000000" w:sz="4" w:space="0"/>
              <w:right w:val="single" w:color="000000" w:sz="4" w:space="0"/>
            </w:tcBorders>
            <w:shd w:val="clear" w:color="auto" w:fill="auto"/>
            <w:vAlign w:val="center"/>
          </w:tcPr>
          <w:p w14:paraId="128F774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年度预算数（万元）</w:t>
            </w:r>
          </w:p>
        </w:tc>
        <w:tc>
          <w:tcPr>
            <w:tcW w:w="501" w:type="pct"/>
            <w:tcBorders>
              <w:top w:val="nil"/>
              <w:left w:val="nil"/>
              <w:bottom w:val="single" w:color="000000" w:sz="4" w:space="0"/>
              <w:right w:val="single" w:color="000000" w:sz="4" w:space="0"/>
            </w:tcBorders>
            <w:shd w:val="clear" w:color="auto" w:fill="auto"/>
            <w:vAlign w:val="center"/>
          </w:tcPr>
          <w:p w14:paraId="08F7026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年初预算</w:t>
            </w:r>
          </w:p>
        </w:tc>
        <w:tc>
          <w:tcPr>
            <w:tcW w:w="580" w:type="pct"/>
            <w:tcBorders>
              <w:top w:val="nil"/>
              <w:left w:val="nil"/>
              <w:bottom w:val="single" w:color="000000" w:sz="4" w:space="0"/>
              <w:right w:val="single" w:color="000000" w:sz="4" w:space="0"/>
            </w:tcBorders>
            <w:shd w:val="clear" w:color="auto" w:fill="auto"/>
            <w:vAlign w:val="center"/>
          </w:tcPr>
          <w:p w14:paraId="205DF81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调整后预算数</w:t>
            </w:r>
          </w:p>
        </w:tc>
        <w:tc>
          <w:tcPr>
            <w:tcW w:w="796" w:type="pct"/>
            <w:gridSpan w:val="3"/>
            <w:tcBorders>
              <w:top w:val="single" w:color="000000" w:sz="4" w:space="0"/>
              <w:left w:val="nil"/>
              <w:bottom w:val="single" w:color="000000" w:sz="4" w:space="0"/>
              <w:right w:val="single" w:color="000000" w:sz="4" w:space="0"/>
            </w:tcBorders>
            <w:shd w:val="clear" w:color="auto" w:fill="auto"/>
            <w:vAlign w:val="center"/>
          </w:tcPr>
          <w:p w14:paraId="05FF81B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预算执行数</w:t>
            </w:r>
          </w:p>
        </w:tc>
        <w:tc>
          <w:tcPr>
            <w:tcW w:w="411" w:type="pct"/>
            <w:tcBorders>
              <w:top w:val="nil"/>
              <w:left w:val="nil"/>
              <w:bottom w:val="single" w:color="000000" w:sz="4" w:space="0"/>
              <w:right w:val="single" w:color="000000" w:sz="4" w:space="0"/>
            </w:tcBorders>
            <w:shd w:val="clear" w:color="auto" w:fill="auto"/>
            <w:vAlign w:val="center"/>
          </w:tcPr>
          <w:p w14:paraId="5A2C0A6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w:t>
            </w:r>
          </w:p>
        </w:tc>
        <w:tc>
          <w:tcPr>
            <w:tcW w:w="235" w:type="pct"/>
            <w:gridSpan w:val="2"/>
            <w:tcBorders>
              <w:top w:val="nil"/>
              <w:left w:val="nil"/>
              <w:bottom w:val="single" w:color="000000" w:sz="4" w:space="0"/>
              <w:right w:val="single" w:color="000000" w:sz="4" w:space="0"/>
            </w:tcBorders>
            <w:shd w:val="clear" w:color="auto" w:fill="auto"/>
            <w:vAlign w:val="center"/>
          </w:tcPr>
          <w:p w14:paraId="08E5E06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191" w:type="pct"/>
            <w:tcBorders>
              <w:top w:val="nil"/>
              <w:left w:val="nil"/>
              <w:bottom w:val="single" w:color="000000" w:sz="4" w:space="0"/>
              <w:right w:val="single" w:color="000000" w:sz="4" w:space="0"/>
            </w:tcBorders>
            <w:shd w:val="clear" w:color="auto" w:fill="auto"/>
            <w:vAlign w:val="center"/>
          </w:tcPr>
          <w:p w14:paraId="3B4CE9D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1121" w:type="pct"/>
            <w:tcBorders>
              <w:top w:val="nil"/>
              <w:left w:val="nil"/>
              <w:bottom w:val="single" w:color="000000" w:sz="4" w:space="0"/>
              <w:right w:val="single" w:color="000000" w:sz="4" w:space="0"/>
            </w:tcBorders>
            <w:shd w:val="clear" w:color="auto" w:fill="auto"/>
            <w:vAlign w:val="center"/>
          </w:tcPr>
          <w:p w14:paraId="6246095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原因</w:t>
            </w:r>
          </w:p>
        </w:tc>
      </w:tr>
      <w:tr w14:paraId="7BD6CF27">
        <w:tblPrEx>
          <w:tblCellMar>
            <w:top w:w="0" w:type="dxa"/>
            <w:left w:w="108" w:type="dxa"/>
            <w:bottom w:w="0" w:type="dxa"/>
            <w:right w:w="108" w:type="dxa"/>
          </w:tblCellMar>
        </w:tblPrEx>
        <w:trPr>
          <w:trHeight w:val="345" w:hRule="atLeast"/>
        </w:trPr>
        <w:tc>
          <w:tcPr>
            <w:tcW w:w="546" w:type="pct"/>
            <w:vMerge w:val="continue"/>
            <w:tcBorders>
              <w:top w:val="nil"/>
              <w:left w:val="single" w:color="000000" w:sz="4" w:space="0"/>
              <w:bottom w:val="single" w:color="000000" w:sz="4" w:space="0"/>
              <w:right w:val="single" w:color="000000" w:sz="4" w:space="0"/>
            </w:tcBorders>
            <w:vAlign w:val="center"/>
          </w:tcPr>
          <w:p w14:paraId="2A2EF617">
            <w:pPr>
              <w:widowControl/>
              <w:jc w:val="left"/>
              <w:rPr>
                <w:rFonts w:ascii="宋体" w:hAnsi="宋体" w:eastAsia="宋体" w:cs="宋体"/>
                <w:color w:val="000000"/>
                <w:kern w:val="0"/>
                <w:sz w:val="18"/>
                <w:szCs w:val="18"/>
              </w:rPr>
            </w:pPr>
          </w:p>
        </w:tc>
        <w:tc>
          <w:tcPr>
            <w:tcW w:w="618" w:type="pct"/>
            <w:gridSpan w:val="2"/>
            <w:tcBorders>
              <w:top w:val="nil"/>
              <w:left w:val="nil"/>
              <w:bottom w:val="single" w:color="000000" w:sz="4" w:space="0"/>
              <w:right w:val="single" w:color="000000" w:sz="4" w:space="0"/>
            </w:tcBorders>
            <w:shd w:val="clear" w:color="auto" w:fill="auto"/>
            <w:vAlign w:val="center"/>
          </w:tcPr>
          <w:p w14:paraId="4D03DE3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总额</w:t>
            </w:r>
          </w:p>
        </w:tc>
        <w:tc>
          <w:tcPr>
            <w:tcW w:w="501" w:type="pct"/>
            <w:tcBorders>
              <w:top w:val="nil"/>
              <w:left w:val="nil"/>
              <w:bottom w:val="single" w:color="000000" w:sz="4" w:space="0"/>
              <w:right w:val="single" w:color="000000" w:sz="4" w:space="0"/>
            </w:tcBorders>
            <w:shd w:val="clear" w:color="auto" w:fill="auto"/>
            <w:vAlign w:val="center"/>
          </w:tcPr>
          <w:p w14:paraId="31D9B68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0" w:type="pct"/>
            <w:tcBorders>
              <w:top w:val="nil"/>
              <w:left w:val="nil"/>
              <w:bottom w:val="single" w:color="000000" w:sz="4" w:space="0"/>
              <w:right w:val="single" w:color="000000" w:sz="4" w:space="0"/>
            </w:tcBorders>
            <w:shd w:val="clear" w:color="auto" w:fill="auto"/>
            <w:vAlign w:val="center"/>
          </w:tcPr>
          <w:p w14:paraId="2C92CFF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245.79</w:t>
            </w:r>
          </w:p>
        </w:tc>
        <w:tc>
          <w:tcPr>
            <w:tcW w:w="796" w:type="pct"/>
            <w:gridSpan w:val="3"/>
            <w:tcBorders>
              <w:top w:val="single" w:color="000000" w:sz="4" w:space="0"/>
              <w:left w:val="nil"/>
              <w:bottom w:val="single" w:color="000000" w:sz="4" w:space="0"/>
              <w:right w:val="single" w:color="000000" w:sz="4" w:space="0"/>
            </w:tcBorders>
            <w:shd w:val="clear" w:color="auto" w:fill="auto"/>
            <w:vAlign w:val="center"/>
          </w:tcPr>
          <w:p w14:paraId="2F1D02A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245.79</w:t>
            </w:r>
          </w:p>
        </w:tc>
        <w:tc>
          <w:tcPr>
            <w:tcW w:w="411" w:type="pct"/>
            <w:tcBorders>
              <w:top w:val="nil"/>
              <w:left w:val="nil"/>
              <w:bottom w:val="single" w:color="000000" w:sz="4" w:space="0"/>
              <w:right w:val="single" w:color="000000" w:sz="4" w:space="0"/>
            </w:tcBorders>
            <w:shd w:val="clear" w:color="auto" w:fill="auto"/>
            <w:vAlign w:val="center"/>
          </w:tcPr>
          <w:p w14:paraId="1E57221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235" w:type="pct"/>
            <w:gridSpan w:val="2"/>
            <w:tcBorders>
              <w:top w:val="nil"/>
              <w:left w:val="nil"/>
              <w:bottom w:val="single" w:color="000000" w:sz="4" w:space="0"/>
              <w:right w:val="single" w:color="000000" w:sz="4" w:space="0"/>
            </w:tcBorders>
            <w:shd w:val="clear" w:color="auto" w:fill="auto"/>
            <w:vAlign w:val="center"/>
          </w:tcPr>
          <w:p w14:paraId="0168113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91" w:type="pct"/>
            <w:tcBorders>
              <w:top w:val="nil"/>
              <w:left w:val="nil"/>
              <w:bottom w:val="single" w:color="000000" w:sz="4" w:space="0"/>
              <w:right w:val="single" w:color="000000" w:sz="4" w:space="0"/>
            </w:tcBorders>
            <w:shd w:val="clear" w:color="auto" w:fill="auto"/>
            <w:vAlign w:val="center"/>
          </w:tcPr>
          <w:p w14:paraId="0E20E44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　</w:t>
            </w:r>
          </w:p>
        </w:tc>
        <w:tc>
          <w:tcPr>
            <w:tcW w:w="1121" w:type="pct"/>
            <w:vMerge w:val="restart"/>
            <w:tcBorders>
              <w:top w:val="nil"/>
              <w:left w:val="single" w:color="000000" w:sz="4" w:space="0"/>
              <w:bottom w:val="single" w:color="000000" w:sz="4" w:space="0"/>
              <w:right w:val="single" w:color="000000" w:sz="4" w:space="0"/>
            </w:tcBorders>
            <w:shd w:val="clear" w:color="auto" w:fill="auto"/>
            <w:vAlign w:val="center"/>
          </w:tcPr>
          <w:p w14:paraId="3B7043F3">
            <w:pPr>
              <w:widowControl/>
              <w:jc w:val="left"/>
              <w:rPr>
                <w:rFonts w:hint="eastAsia" w:ascii="黑体" w:hAnsi="黑体" w:eastAsia="宋体" w:cs="宋体"/>
                <w:i/>
                <w:iCs/>
                <w:color w:val="000000"/>
                <w:kern w:val="0"/>
                <w:sz w:val="18"/>
                <w:szCs w:val="18"/>
              </w:rPr>
            </w:pPr>
            <w:r>
              <w:rPr>
                <w:rFonts w:ascii="黑体" w:hAnsi="黑体" w:eastAsia="宋体" w:cs="宋体"/>
                <w:i/>
                <w:iCs/>
                <w:color w:val="000000"/>
                <w:kern w:val="0"/>
                <w:sz w:val="18"/>
                <w:szCs w:val="18"/>
              </w:rPr>
              <w:t>　</w:t>
            </w:r>
          </w:p>
        </w:tc>
      </w:tr>
      <w:tr w14:paraId="6A8F3470">
        <w:tblPrEx>
          <w:tblCellMar>
            <w:top w:w="0" w:type="dxa"/>
            <w:left w:w="108" w:type="dxa"/>
            <w:bottom w:w="0" w:type="dxa"/>
            <w:right w:w="108" w:type="dxa"/>
          </w:tblCellMar>
        </w:tblPrEx>
        <w:trPr>
          <w:trHeight w:val="434" w:hRule="atLeast"/>
        </w:trPr>
        <w:tc>
          <w:tcPr>
            <w:tcW w:w="546" w:type="pct"/>
            <w:vMerge w:val="continue"/>
            <w:tcBorders>
              <w:top w:val="nil"/>
              <w:left w:val="single" w:color="000000" w:sz="4" w:space="0"/>
              <w:bottom w:val="single" w:color="000000" w:sz="4" w:space="0"/>
              <w:right w:val="single" w:color="000000" w:sz="4" w:space="0"/>
            </w:tcBorders>
            <w:vAlign w:val="center"/>
          </w:tcPr>
          <w:p w14:paraId="76CFC085">
            <w:pPr>
              <w:widowControl/>
              <w:jc w:val="left"/>
              <w:rPr>
                <w:rFonts w:ascii="宋体" w:hAnsi="宋体" w:eastAsia="宋体" w:cs="宋体"/>
                <w:color w:val="000000"/>
                <w:kern w:val="0"/>
                <w:sz w:val="18"/>
                <w:szCs w:val="18"/>
              </w:rPr>
            </w:pPr>
          </w:p>
        </w:tc>
        <w:tc>
          <w:tcPr>
            <w:tcW w:w="618" w:type="pct"/>
            <w:gridSpan w:val="2"/>
            <w:tcBorders>
              <w:top w:val="nil"/>
              <w:left w:val="nil"/>
              <w:bottom w:val="single" w:color="000000" w:sz="4" w:space="0"/>
              <w:right w:val="single" w:color="000000" w:sz="4" w:space="0"/>
            </w:tcBorders>
            <w:shd w:val="clear" w:color="auto" w:fill="auto"/>
            <w:vAlign w:val="center"/>
          </w:tcPr>
          <w:p w14:paraId="08B9A2C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其中：财政资金</w:t>
            </w:r>
          </w:p>
        </w:tc>
        <w:tc>
          <w:tcPr>
            <w:tcW w:w="501" w:type="pct"/>
            <w:tcBorders>
              <w:top w:val="nil"/>
              <w:left w:val="nil"/>
              <w:bottom w:val="single" w:color="000000" w:sz="4" w:space="0"/>
              <w:right w:val="single" w:color="000000" w:sz="4" w:space="0"/>
            </w:tcBorders>
            <w:shd w:val="clear" w:color="auto" w:fill="auto"/>
            <w:vAlign w:val="center"/>
          </w:tcPr>
          <w:p w14:paraId="4A094C1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0" w:type="pct"/>
            <w:tcBorders>
              <w:top w:val="nil"/>
              <w:left w:val="nil"/>
              <w:bottom w:val="single" w:color="000000" w:sz="4" w:space="0"/>
              <w:right w:val="single" w:color="000000" w:sz="4" w:space="0"/>
            </w:tcBorders>
            <w:shd w:val="clear" w:color="auto" w:fill="auto"/>
            <w:vAlign w:val="center"/>
          </w:tcPr>
          <w:p w14:paraId="3F9E9E6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245.79</w:t>
            </w:r>
          </w:p>
        </w:tc>
        <w:tc>
          <w:tcPr>
            <w:tcW w:w="796" w:type="pct"/>
            <w:gridSpan w:val="3"/>
            <w:tcBorders>
              <w:top w:val="single" w:color="000000" w:sz="4" w:space="0"/>
              <w:left w:val="nil"/>
              <w:bottom w:val="single" w:color="000000" w:sz="4" w:space="0"/>
              <w:right w:val="single" w:color="000000" w:sz="4" w:space="0"/>
            </w:tcBorders>
            <w:shd w:val="clear" w:color="auto" w:fill="auto"/>
            <w:vAlign w:val="center"/>
          </w:tcPr>
          <w:p w14:paraId="030577E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245.79</w:t>
            </w:r>
          </w:p>
        </w:tc>
        <w:tc>
          <w:tcPr>
            <w:tcW w:w="411" w:type="pct"/>
            <w:tcBorders>
              <w:top w:val="nil"/>
              <w:left w:val="nil"/>
              <w:bottom w:val="single" w:color="000000" w:sz="4" w:space="0"/>
              <w:right w:val="single" w:color="000000" w:sz="4" w:space="0"/>
            </w:tcBorders>
            <w:shd w:val="clear" w:color="auto" w:fill="auto"/>
            <w:vAlign w:val="center"/>
          </w:tcPr>
          <w:p w14:paraId="3518D59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235" w:type="pct"/>
            <w:gridSpan w:val="2"/>
            <w:tcBorders>
              <w:top w:val="nil"/>
              <w:left w:val="nil"/>
              <w:bottom w:val="single" w:color="000000" w:sz="4" w:space="0"/>
              <w:right w:val="single" w:color="000000" w:sz="4" w:space="0"/>
            </w:tcBorders>
            <w:shd w:val="clear" w:color="auto" w:fill="auto"/>
            <w:vAlign w:val="center"/>
          </w:tcPr>
          <w:p w14:paraId="609DB9A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1" w:type="pct"/>
            <w:tcBorders>
              <w:top w:val="nil"/>
              <w:left w:val="nil"/>
              <w:bottom w:val="single" w:color="000000" w:sz="4" w:space="0"/>
              <w:right w:val="single" w:color="000000" w:sz="4" w:space="0"/>
            </w:tcBorders>
            <w:shd w:val="clear" w:color="auto" w:fill="auto"/>
            <w:vAlign w:val="center"/>
          </w:tcPr>
          <w:p w14:paraId="4BF83E7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21" w:type="pct"/>
            <w:vMerge w:val="continue"/>
            <w:tcBorders>
              <w:top w:val="nil"/>
              <w:left w:val="single" w:color="000000" w:sz="4" w:space="0"/>
              <w:bottom w:val="single" w:color="000000" w:sz="4" w:space="0"/>
              <w:right w:val="single" w:color="000000" w:sz="4" w:space="0"/>
            </w:tcBorders>
            <w:vAlign w:val="center"/>
          </w:tcPr>
          <w:p w14:paraId="64EC0FBF">
            <w:pPr>
              <w:widowControl/>
              <w:jc w:val="left"/>
              <w:rPr>
                <w:rFonts w:hint="eastAsia" w:ascii="黑体" w:hAnsi="黑体" w:eastAsia="宋体" w:cs="宋体"/>
                <w:i/>
                <w:iCs/>
                <w:color w:val="000000"/>
                <w:kern w:val="0"/>
                <w:sz w:val="18"/>
                <w:szCs w:val="18"/>
              </w:rPr>
            </w:pPr>
          </w:p>
        </w:tc>
      </w:tr>
      <w:tr w14:paraId="0289CB96">
        <w:tblPrEx>
          <w:tblCellMar>
            <w:top w:w="0" w:type="dxa"/>
            <w:left w:w="108" w:type="dxa"/>
            <w:bottom w:w="0" w:type="dxa"/>
            <w:right w:w="108" w:type="dxa"/>
          </w:tblCellMar>
        </w:tblPrEx>
        <w:trPr>
          <w:trHeight w:val="409" w:hRule="atLeast"/>
        </w:trPr>
        <w:tc>
          <w:tcPr>
            <w:tcW w:w="546" w:type="pct"/>
            <w:vMerge w:val="continue"/>
            <w:tcBorders>
              <w:top w:val="nil"/>
              <w:left w:val="single" w:color="000000" w:sz="4" w:space="0"/>
              <w:bottom w:val="single" w:color="000000" w:sz="4" w:space="0"/>
              <w:right w:val="single" w:color="000000" w:sz="4" w:space="0"/>
            </w:tcBorders>
            <w:vAlign w:val="center"/>
          </w:tcPr>
          <w:p w14:paraId="372D1CB4">
            <w:pPr>
              <w:widowControl/>
              <w:jc w:val="left"/>
              <w:rPr>
                <w:rFonts w:ascii="宋体" w:hAnsi="宋体" w:eastAsia="宋体" w:cs="宋体"/>
                <w:color w:val="000000"/>
                <w:kern w:val="0"/>
                <w:sz w:val="18"/>
                <w:szCs w:val="18"/>
              </w:rPr>
            </w:pPr>
          </w:p>
        </w:tc>
        <w:tc>
          <w:tcPr>
            <w:tcW w:w="618" w:type="pct"/>
            <w:gridSpan w:val="2"/>
            <w:tcBorders>
              <w:top w:val="nil"/>
              <w:left w:val="nil"/>
              <w:bottom w:val="single" w:color="000000" w:sz="4" w:space="0"/>
              <w:right w:val="single" w:color="000000" w:sz="4" w:space="0"/>
            </w:tcBorders>
            <w:shd w:val="clear" w:color="auto" w:fill="auto"/>
            <w:vAlign w:val="center"/>
          </w:tcPr>
          <w:p w14:paraId="7D01A45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财政专户管理资金</w:t>
            </w:r>
          </w:p>
        </w:tc>
        <w:tc>
          <w:tcPr>
            <w:tcW w:w="501" w:type="pct"/>
            <w:tcBorders>
              <w:top w:val="nil"/>
              <w:left w:val="nil"/>
              <w:bottom w:val="single" w:color="000000" w:sz="4" w:space="0"/>
              <w:right w:val="single" w:color="000000" w:sz="4" w:space="0"/>
            </w:tcBorders>
            <w:shd w:val="clear" w:color="auto" w:fill="auto"/>
            <w:vAlign w:val="center"/>
          </w:tcPr>
          <w:p w14:paraId="25EEC56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0" w:type="pct"/>
            <w:tcBorders>
              <w:top w:val="nil"/>
              <w:left w:val="nil"/>
              <w:bottom w:val="single" w:color="000000" w:sz="4" w:space="0"/>
              <w:right w:val="single" w:color="000000" w:sz="4" w:space="0"/>
            </w:tcBorders>
            <w:shd w:val="clear" w:color="auto" w:fill="auto"/>
            <w:vAlign w:val="center"/>
          </w:tcPr>
          <w:p w14:paraId="3003FE6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96" w:type="pct"/>
            <w:gridSpan w:val="3"/>
            <w:tcBorders>
              <w:top w:val="single" w:color="000000" w:sz="4" w:space="0"/>
              <w:left w:val="nil"/>
              <w:bottom w:val="single" w:color="000000" w:sz="4" w:space="0"/>
              <w:right w:val="single" w:color="000000" w:sz="4" w:space="0"/>
            </w:tcBorders>
            <w:shd w:val="clear" w:color="auto" w:fill="auto"/>
            <w:vAlign w:val="center"/>
          </w:tcPr>
          <w:p w14:paraId="213DA11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411" w:type="pct"/>
            <w:tcBorders>
              <w:top w:val="nil"/>
              <w:left w:val="nil"/>
              <w:bottom w:val="single" w:color="000000" w:sz="4" w:space="0"/>
              <w:right w:val="single" w:color="000000" w:sz="4" w:space="0"/>
            </w:tcBorders>
            <w:shd w:val="clear" w:color="auto" w:fill="auto"/>
            <w:vAlign w:val="center"/>
          </w:tcPr>
          <w:p w14:paraId="0784D5A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35" w:type="pct"/>
            <w:gridSpan w:val="2"/>
            <w:tcBorders>
              <w:top w:val="nil"/>
              <w:left w:val="nil"/>
              <w:bottom w:val="single" w:color="000000" w:sz="4" w:space="0"/>
              <w:right w:val="single" w:color="000000" w:sz="4" w:space="0"/>
            </w:tcBorders>
            <w:shd w:val="clear" w:color="auto" w:fill="auto"/>
            <w:vAlign w:val="center"/>
          </w:tcPr>
          <w:p w14:paraId="19C82E1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1" w:type="pct"/>
            <w:tcBorders>
              <w:top w:val="nil"/>
              <w:left w:val="nil"/>
              <w:bottom w:val="single" w:color="000000" w:sz="4" w:space="0"/>
              <w:right w:val="single" w:color="000000" w:sz="4" w:space="0"/>
            </w:tcBorders>
            <w:shd w:val="clear" w:color="auto" w:fill="auto"/>
            <w:vAlign w:val="center"/>
          </w:tcPr>
          <w:p w14:paraId="5058E8B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21" w:type="pct"/>
            <w:vMerge w:val="continue"/>
            <w:tcBorders>
              <w:top w:val="nil"/>
              <w:left w:val="single" w:color="000000" w:sz="4" w:space="0"/>
              <w:bottom w:val="single" w:color="000000" w:sz="4" w:space="0"/>
              <w:right w:val="single" w:color="000000" w:sz="4" w:space="0"/>
            </w:tcBorders>
            <w:vAlign w:val="center"/>
          </w:tcPr>
          <w:p w14:paraId="0EA4A29A">
            <w:pPr>
              <w:widowControl/>
              <w:jc w:val="left"/>
              <w:rPr>
                <w:rFonts w:hint="eastAsia" w:ascii="黑体" w:hAnsi="黑体" w:eastAsia="宋体" w:cs="宋体"/>
                <w:i/>
                <w:iCs/>
                <w:color w:val="000000"/>
                <w:kern w:val="0"/>
                <w:sz w:val="18"/>
                <w:szCs w:val="18"/>
              </w:rPr>
            </w:pPr>
          </w:p>
        </w:tc>
      </w:tr>
      <w:tr w14:paraId="525529EB">
        <w:tblPrEx>
          <w:tblCellMar>
            <w:top w:w="0" w:type="dxa"/>
            <w:left w:w="108" w:type="dxa"/>
            <w:bottom w:w="0" w:type="dxa"/>
            <w:right w:w="108" w:type="dxa"/>
          </w:tblCellMar>
        </w:tblPrEx>
        <w:trPr>
          <w:trHeight w:val="360" w:hRule="atLeast"/>
        </w:trPr>
        <w:tc>
          <w:tcPr>
            <w:tcW w:w="546" w:type="pct"/>
            <w:vMerge w:val="continue"/>
            <w:tcBorders>
              <w:top w:val="nil"/>
              <w:left w:val="single" w:color="000000" w:sz="4" w:space="0"/>
              <w:bottom w:val="single" w:color="000000" w:sz="4" w:space="0"/>
              <w:right w:val="single" w:color="000000" w:sz="4" w:space="0"/>
            </w:tcBorders>
            <w:vAlign w:val="center"/>
          </w:tcPr>
          <w:p w14:paraId="5294F14F">
            <w:pPr>
              <w:widowControl/>
              <w:jc w:val="left"/>
              <w:rPr>
                <w:rFonts w:ascii="宋体" w:hAnsi="宋体" w:eastAsia="宋体" w:cs="宋体"/>
                <w:color w:val="000000"/>
                <w:kern w:val="0"/>
                <w:sz w:val="18"/>
                <w:szCs w:val="18"/>
              </w:rPr>
            </w:pPr>
          </w:p>
        </w:tc>
        <w:tc>
          <w:tcPr>
            <w:tcW w:w="618" w:type="pct"/>
            <w:gridSpan w:val="2"/>
            <w:tcBorders>
              <w:top w:val="nil"/>
              <w:left w:val="nil"/>
              <w:bottom w:val="single" w:color="000000" w:sz="4" w:space="0"/>
              <w:right w:val="single" w:color="000000" w:sz="4" w:space="0"/>
            </w:tcBorders>
            <w:shd w:val="clear" w:color="auto" w:fill="auto"/>
            <w:vAlign w:val="center"/>
          </w:tcPr>
          <w:p w14:paraId="6EBD3CE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单位资金</w:t>
            </w:r>
          </w:p>
        </w:tc>
        <w:tc>
          <w:tcPr>
            <w:tcW w:w="501" w:type="pct"/>
            <w:tcBorders>
              <w:top w:val="nil"/>
              <w:left w:val="nil"/>
              <w:bottom w:val="single" w:color="000000" w:sz="4" w:space="0"/>
              <w:right w:val="single" w:color="000000" w:sz="4" w:space="0"/>
            </w:tcBorders>
            <w:shd w:val="clear" w:color="auto" w:fill="auto"/>
            <w:vAlign w:val="center"/>
          </w:tcPr>
          <w:p w14:paraId="2D991F9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0" w:type="pct"/>
            <w:tcBorders>
              <w:top w:val="nil"/>
              <w:left w:val="nil"/>
              <w:bottom w:val="single" w:color="000000" w:sz="4" w:space="0"/>
              <w:right w:val="single" w:color="000000" w:sz="4" w:space="0"/>
            </w:tcBorders>
            <w:shd w:val="clear" w:color="auto" w:fill="auto"/>
            <w:vAlign w:val="center"/>
          </w:tcPr>
          <w:p w14:paraId="12C2F1E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96" w:type="pct"/>
            <w:gridSpan w:val="3"/>
            <w:tcBorders>
              <w:top w:val="single" w:color="000000" w:sz="4" w:space="0"/>
              <w:left w:val="nil"/>
              <w:bottom w:val="single" w:color="000000" w:sz="4" w:space="0"/>
              <w:right w:val="single" w:color="000000" w:sz="4" w:space="0"/>
            </w:tcBorders>
            <w:shd w:val="clear" w:color="auto" w:fill="auto"/>
            <w:vAlign w:val="center"/>
          </w:tcPr>
          <w:p w14:paraId="6EAADED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411" w:type="pct"/>
            <w:tcBorders>
              <w:top w:val="nil"/>
              <w:left w:val="nil"/>
              <w:bottom w:val="single" w:color="000000" w:sz="4" w:space="0"/>
              <w:right w:val="single" w:color="000000" w:sz="4" w:space="0"/>
            </w:tcBorders>
            <w:shd w:val="clear" w:color="auto" w:fill="auto"/>
            <w:vAlign w:val="center"/>
          </w:tcPr>
          <w:p w14:paraId="7AED05D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35" w:type="pct"/>
            <w:gridSpan w:val="2"/>
            <w:tcBorders>
              <w:top w:val="nil"/>
              <w:left w:val="nil"/>
              <w:bottom w:val="single" w:color="000000" w:sz="4" w:space="0"/>
              <w:right w:val="single" w:color="000000" w:sz="4" w:space="0"/>
            </w:tcBorders>
            <w:shd w:val="clear" w:color="auto" w:fill="auto"/>
            <w:vAlign w:val="center"/>
          </w:tcPr>
          <w:p w14:paraId="759DB1A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1" w:type="pct"/>
            <w:tcBorders>
              <w:top w:val="nil"/>
              <w:left w:val="nil"/>
              <w:bottom w:val="single" w:color="000000" w:sz="4" w:space="0"/>
              <w:right w:val="single" w:color="000000" w:sz="4" w:space="0"/>
            </w:tcBorders>
            <w:shd w:val="clear" w:color="auto" w:fill="auto"/>
            <w:vAlign w:val="center"/>
          </w:tcPr>
          <w:p w14:paraId="293EFF8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21" w:type="pct"/>
            <w:vMerge w:val="continue"/>
            <w:tcBorders>
              <w:top w:val="nil"/>
              <w:left w:val="single" w:color="000000" w:sz="4" w:space="0"/>
              <w:bottom w:val="single" w:color="000000" w:sz="4" w:space="0"/>
              <w:right w:val="single" w:color="000000" w:sz="4" w:space="0"/>
            </w:tcBorders>
            <w:vAlign w:val="center"/>
          </w:tcPr>
          <w:p w14:paraId="49D03447">
            <w:pPr>
              <w:widowControl/>
              <w:jc w:val="left"/>
              <w:rPr>
                <w:rFonts w:hint="eastAsia" w:ascii="黑体" w:hAnsi="黑体" w:eastAsia="宋体" w:cs="宋体"/>
                <w:i/>
                <w:iCs/>
                <w:color w:val="000000"/>
                <w:kern w:val="0"/>
                <w:sz w:val="18"/>
                <w:szCs w:val="18"/>
              </w:rPr>
            </w:pPr>
          </w:p>
        </w:tc>
      </w:tr>
      <w:tr w14:paraId="53306A98">
        <w:tblPrEx>
          <w:tblCellMar>
            <w:top w:w="0" w:type="dxa"/>
            <w:left w:w="108" w:type="dxa"/>
            <w:bottom w:w="0" w:type="dxa"/>
            <w:right w:w="108" w:type="dxa"/>
          </w:tblCellMar>
        </w:tblPrEx>
        <w:trPr>
          <w:trHeight w:val="338" w:hRule="atLeast"/>
        </w:trPr>
        <w:tc>
          <w:tcPr>
            <w:tcW w:w="546" w:type="pct"/>
            <w:vMerge w:val="continue"/>
            <w:tcBorders>
              <w:top w:val="nil"/>
              <w:left w:val="single" w:color="000000" w:sz="4" w:space="0"/>
              <w:bottom w:val="single" w:color="000000" w:sz="4" w:space="0"/>
              <w:right w:val="single" w:color="000000" w:sz="4" w:space="0"/>
            </w:tcBorders>
            <w:vAlign w:val="center"/>
          </w:tcPr>
          <w:p w14:paraId="32125AE5">
            <w:pPr>
              <w:widowControl/>
              <w:jc w:val="left"/>
              <w:rPr>
                <w:rFonts w:ascii="宋体" w:hAnsi="宋体" w:eastAsia="宋体" w:cs="宋体"/>
                <w:color w:val="000000"/>
                <w:kern w:val="0"/>
                <w:sz w:val="18"/>
                <w:szCs w:val="18"/>
              </w:rPr>
            </w:pPr>
          </w:p>
        </w:tc>
        <w:tc>
          <w:tcPr>
            <w:tcW w:w="618" w:type="pct"/>
            <w:gridSpan w:val="2"/>
            <w:tcBorders>
              <w:top w:val="nil"/>
              <w:left w:val="nil"/>
              <w:bottom w:val="single" w:color="000000" w:sz="4" w:space="0"/>
              <w:right w:val="single" w:color="000000" w:sz="4" w:space="0"/>
            </w:tcBorders>
            <w:shd w:val="clear" w:color="auto" w:fill="auto"/>
            <w:vAlign w:val="center"/>
          </w:tcPr>
          <w:p w14:paraId="536CDC1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其他资金</w:t>
            </w:r>
          </w:p>
        </w:tc>
        <w:tc>
          <w:tcPr>
            <w:tcW w:w="501" w:type="pct"/>
            <w:tcBorders>
              <w:top w:val="nil"/>
              <w:left w:val="nil"/>
              <w:bottom w:val="single" w:color="000000" w:sz="4" w:space="0"/>
              <w:right w:val="single" w:color="000000" w:sz="4" w:space="0"/>
            </w:tcBorders>
            <w:shd w:val="clear" w:color="auto" w:fill="auto"/>
            <w:vAlign w:val="center"/>
          </w:tcPr>
          <w:p w14:paraId="05A1115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80" w:type="pct"/>
            <w:tcBorders>
              <w:top w:val="nil"/>
              <w:left w:val="nil"/>
              <w:bottom w:val="single" w:color="000000" w:sz="4" w:space="0"/>
              <w:right w:val="single" w:color="000000" w:sz="4" w:space="0"/>
            </w:tcBorders>
            <w:shd w:val="clear" w:color="auto" w:fill="auto"/>
            <w:vAlign w:val="center"/>
          </w:tcPr>
          <w:p w14:paraId="6C3D67D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96" w:type="pct"/>
            <w:gridSpan w:val="3"/>
            <w:tcBorders>
              <w:top w:val="single" w:color="000000" w:sz="4" w:space="0"/>
              <w:left w:val="nil"/>
              <w:bottom w:val="single" w:color="000000" w:sz="4" w:space="0"/>
              <w:right w:val="single" w:color="000000" w:sz="4" w:space="0"/>
            </w:tcBorders>
            <w:shd w:val="clear" w:color="auto" w:fill="auto"/>
            <w:vAlign w:val="center"/>
          </w:tcPr>
          <w:p w14:paraId="055C184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11" w:type="pct"/>
            <w:tcBorders>
              <w:top w:val="nil"/>
              <w:left w:val="nil"/>
              <w:bottom w:val="single" w:color="000000" w:sz="4" w:space="0"/>
              <w:right w:val="single" w:color="000000" w:sz="4" w:space="0"/>
            </w:tcBorders>
            <w:shd w:val="clear" w:color="auto" w:fill="auto"/>
            <w:vAlign w:val="center"/>
          </w:tcPr>
          <w:p w14:paraId="74E7630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35" w:type="pct"/>
            <w:gridSpan w:val="2"/>
            <w:tcBorders>
              <w:top w:val="nil"/>
              <w:left w:val="nil"/>
              <w:bottom w:val="single" w:color="000000" w:sz="4" w:space="0"/>
              <w:right w:val="single" w:color="000000" w:sz="4" w:space="0"/>
            </w:tcBorders>
            <w:shd w:val="clear" w:color="auto" w:fill="auto"/>
            <w:vAlign w:val="center"/>
          </w:tcPr>
          <w:p w14:paraId="04B1EE5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1" w:type="pct"/>
            <w:tcBorders>
              <w:top w:val="nil"/>
              <w:left w:val="nil"/>
              <w:bottom w:val="single" w:color="000000" w:sz="4" w:space="0"/>
              <w:right w:val="single" w:color="000000" w:sz="4" w:space="0"/>
            </w:tcBorders>
            <w:shd w:val="clear" w:color="auto" w:fill="auto"/>
            <w:vAlign w:val="center"/>
          </w:tcPr>
          <w:p w14:paraId="79D44BC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21" w:type="pct"/>
            <w:vMerge w:val="continue"/>
            <w:tcBorders>
              <w:top w:val="nil"/>
              <w:left w:val="single" w:color="000000" w:sz="4" w:space="0"/>
              <w:bottom w:val="single" w:color="000000" w:sz="4" w:space="0"/>
              <w:right w:val="single" w:color="000000" w:sz="4" w:space="0"/>
            </w:tcBorders>
            <w:vAlign w:val="center"/>
          </w:tcPr>
          <w:p w14:paraId="17C75667">
            <w:pPr>
              <w:widowControl/>
              <w:jc w:val="left"/>
              <w:rPr>
                <w:rFonts w:hint="eastAsia" w:ascii="黑体" w:hAnsi="黑体" w:eastAsia="宋体" w:cs="宋体"/>
                <w:i/>
                <w:iCs/>
                <w:color w:val="000000"/>
                <w:kern w:val="0"/>
                <w:sz w:val="18"/>
                <w:szCs w:val="18"/>
              </w:rPr>
            </w:pPr>
          </w:p>
        </w:tc>
      </w:tr>
      <w:tr w14:paraId="19BF7035">
        <w:tblPrEx>
          <w:tblCellMar>
            <w:top w:w="0" w:type="dxa"/>
            <w:left w:w="108" w:type="dxa"/>
            <w:bottom w:w="0" w:type="dxa"/>
            <w:right w:w="108" w:type="dxa"/>
          </w:tblCellMar>
        </w:tblPrEx>
        <w:trPr>
          <w:trHeight w:val="1002" w:hRule="atLeast"/>
        </w:trPr>
        <w:tc>
          <w:tcPr>
            <w:tcW w:w="546" w:type="pct"/>
            <w:vMerge w:val="restart"/>
            <w:tcBorders>
              <w:top w:val="nil"/>
              <w:left w:val="single" w:color="000000" w:sz="4" w:space="0"/>
              <w:bottom w:val="single" w:color="000000" w:sz="4" w:space="0"/>
              <w:right w:val="single" w:color="000000" w:sz="4" w:space="0"/>
            </w:tcBorders>
            <w:shd w:val="clear" w:color="auto" w:fill="auto"/>
            <w:vAlign w:val="center"/>
          </w:tcPr>
          <w:p w14:paraId="18641EA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绩效指标（90分）</w:t>
            </w:r>
          </w:p>
        </w:tc>
        <w:tc>
          <w:tcPr>
            <w:tcW w:w="618" w:type="pct"/>
            <w:gridSpan w:val="2"/>
            <w:tcBorders>
              <w:top w:val="nil"/>
              <w:left w:val="nil"/>
              <w:bottom w:val="single" w:color="000000" w:sz="4" w:space="0"/>
              <w:right w:val="single" w:color="000000" w:sz="4" w:space="0"/>
            </w:tcBorders>
            <w:shd w:val="clear" w:color="auto" w:fill="auto"/>
            <w:vAlign w:val="center"/>
          </w:tcPr>
          <w:p w14:paraId="67A3961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一级指标</w:t>
            </w:r>
          </w:p>
        </w:tc>
        <w:tc>
          <w:tcPr>
            <w:tcW w:w="501" w:type="pct"/>
            <w:tcBorders>
              <w:top w:val="nil"/>
              <w:left w:val="nil"/>
              <w:bottom w:val="single" w:color="000000" w:sz="4" w:space="0"/>
              <w:right w:val="single" w:color="000000" w:sz="4" w:space="0"/>
            </w:tcBorders>
            <w:shd w:val="clear" w:color="auto" w:fill="auto"/>
            <w:vAlign w:val="center"/>
          </w:tcPr>
          <w:p w14:paraId="1964FE9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二级指标</w:t>
            </w:r>
          </w:p>
        </w:tc>
        <w:tc>
          <w:tcPr>
            <w:tcW w:w="580" w:type="pct"/>
            <w:tcBorders>
              <w:top w:val="nil"/>
              <w:left w:val="nil"/>
              <w:bottom w:val="single" w:color="000000" w:sz="4" w:space="0"/>
              <w:right w:val="single" w:color="000000" w:sz="4" w:space="0"/>
            </w:tcBorders>
            <w:shd w:val="clear" w:color="auto" w:fill="auto"/>
            <w:vAlign w:val="center"/>
          </w:tcPr>
          <w:p w14:paraId="0F887C9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三级指标</w:t>
            </w:r>
          </w:p>
        </w:tc>
        <w:tc>
          <w:tcPr>
            <w:tcW w:w="191" w:type="pct"/>
            <w:tcBorders>
              <w:top w:val="nil"/>
              <w:left w:val="nil"/>
              <w:bottom w:val="single" w:color="000000" w:sz="4" w:space="0"/>
              <w:right w:val="single" w:color="000000" w:sz="4" w:space="0"/>
            </w:tcBorders>
            <w:shd w:val="clear" w:color="auto" w:fill="auto"/>
            <w:vAlign w:val="center"/>
          </w:tcPr>
          <w:p w14:paraId="00F5BBD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指标性质</w:t>
            </w:r>
          </w:p>
        </w:tc>
        <w:tc>
          <w:tcPr>
            <w:tcW w:w="412" w:type="pct"/>
            <w:tcBorders>
              <w:top w:val="nil"/>
              <w:left w:val="nil"/>
              <w:bottom w:val="single" w:color="000000" w:sz="4" w:space="0"/>
              <w:right w:val="single" w:color="000000" w:sz="4" w:space="0"/>
            </w:tcBorders>
            <w:shd w:val="clear" w:color="auto" w:fill="auto"/>
            <w:vAlign w:val="center"/>
          </w:tcPr>
          <w:p w14:paraId="682A130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指标值</w:t>
            </w:r>
          </w:p>
        </w:tc>
        <w:tc>
          <w:tcPr>
            <w:tcW w:w="193" w:type="pct"/>
            <w:tcBorders>
              <w:top w:val="nil"/>
              <w:left w:val="nil"/>
              <w:bottom w:val="single" w:color="000000" w:sz="4" w:space="0"/>
              <w:right w:val="single" w:color="000000" w:sz="4" w:space="0"/>
            </w:tcBorders>
            <w:shd w:val="clear" w:color="auto" w:fill="auto"/>
            <w:vAlign w:val="center"/>
          </w:tcPr>
          <w:p w14:paraId="02921EF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度量单位</w:t>
            </w:r>
          </w:p>
        </w:tc>
        <w:tc>
          <w:tcPr>
            <w:tcW w:w="411" w:type="pct"/>
            <w:tcBorders>
              <w:top w:val="nil"/>
              <w:left w:val="nil"/>
              <w:bottom w:val="single" w:color="000000" w:sz="4" w:space="0"/>
              <w:right w:val="single" w:color="000000" w:sz="4" w:space="0"/>
            </w:tcBorders>
            <w:shd w:val="clear" w:color="auto" w:fill="auto"/>
            <w:vAlign w:val="center"/>
          </w:tcPr>
          <w:p w14:paraId="6FD1C11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完成值</w:t>
            </w:r>
          </w:p>
        </w:tc>
        <w:tc>
          <w:tcPr>
            <w:tcW w:w="235" w:type="pct"/>
            <w:gridSpan w:val="2"/>
            <w:tcBorders>
              <w:top w:val="nil"/>
              <w:left w:val="nil"/>
              <w:bottom w:val="single" w:color="000000" w:sz="4" w:space="0"/>
              <w:right w:val="single" w:color="000000" w:sz="4" w:space="0"/>
            </w:tcBorders>
            <w:shd w:val="clear" w:color="auto" w:fill="auto"/>
            <w:vAlign w:val="center"/>
          </w:tcPr>
          <w:p w14:paraId="14A927D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191" w:type="pct"/>
            <w:tcBorders>
              <w:top w:val="nil"/>
              <w:left w:val="nil"/>
              <w:bottom w:val="single" w:color="000000" w:sz="4" w:space="0"/>
              <w:right w:val="single" w:color="000000" w:sz="4" w:space="0"/>
            </w:tcBorders>
            <w:shd w:val="clear" w:color="auto" w:fill="auto"/>
            <w:vAlign w:val="center"/>
          </w:tcPr>
          <w:p w14:paraId="2F3C60A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1121" w:type="pct"/>
            <w:tcBorders>
              <w:top w:val="nil"/>
              <w:left w:val="nil"/>
              <w:bottom w:val="single" w:color="000000" w:sz="4" w:space="0"/>
              <w:right w:val="single" w:color="000000" w:sz="4" w:space="0"/>
            </w:tcBorders>
            <w:shd w:val="clear" w:color="auto" w:fill="auto"/>
            <w:vAlign w:val="center"/>
          </w:tcPr>
          <w:p w14:paraId="48CE192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未完成原因分析</w:t>
            </w:r>
          </w:p>
        </w:tc>
      </w:tr>
      <w:tr w14:paraId="16387A98">
        <w:tblPrEx>
          <w:tblCellMar>
            <w:top w:w="0" w:type="dxa"/>
            <w:left w:w="108" w:type="dxa"/>
            <w:bottom w:w="0" w:type="dxa"/>
            <w:right w:w="108" w:type="dxa"/>
          </w:tblCellMar>
        </w:tblPrEx>
        <w:trPr>
          <w:trHeight w:val="338" w:hRule="atLeast"/>
        </w:trPr>
        <w:tc>
          <w:tcPr>
            <w:tcW w:w="546" w:type="pct"/>
            <w:vMerge w:val="continue"/>
            <w:tcBorders>
              <w:top w:val="nil"/>
              <w:left w:val="single" w:color="000000" w:sz="4" w:space="0"/>
              <w:bottom w:val="single" w:color="000000" w:sz="4" w:space="0"/>
              <w:right w:val="single" w:color="000000" w:sz="4" w:space="0"/>
            </w:tcBorders>
            <w:vAlign w:val="center"/>
          </w:tcPr>
          <w:p w14:paraId="56FE85A1">
            <w:pPr>
              <w:widowControl/>
              <w:jc w:val="left"/>
              <w:rPr>
                <w:rFonts w:ascii="宋体" w:hAnsi="宋体" w:eastAsia="宋体" w:cs="宋体"/>
                <w:color w:val="000000"/>
                <w:kern w:val="0"/>
                <w:sz w:val="18"/>
                <w:szCs w:val="18"/>
              </w:rPr>
            </w:pPr>
          </w:p>
        </w:tc>
        <w:tc>
          <w:tcPr>
            <w:tcW w:w="618"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338E42F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w:t>
            </w:r>
          </w:p>
        </w:tc>
        <w:tc>
          <w:tcPr>
            <w:tcW w:w="501" w:type="pct"/>
            <w:tcBorders>
              <w:top w:val="nil"/>
              <w:left w:val="nil"/>
              <w:bottom w:val="single" w:color="000000" w:sz="4" w:space="0"/>
              <w:right w:val="single" w:color="000000" w:sz="4" w:space="0"/>
            </w:tcBorders>
            <w:shd w:val="clear" w:color="auto" w:fill="auto"/>
            <w:vAlign w:val="center"/>
          </w:tcPr>
          <w:p w14:paraId="287D115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tc>
        <w:tc>
          <w:tcPr>
            <w:tcW w:w="580" w:type="pct"/>
            <w:tcBorders>
              <w:top w:val="nil"/>
              <w:left w:val="nil"/>
              <w:bottom w:val="single" w:color="000000" w:sz="4" w:space="0"/>
              <w:right w:val="single" w:color="000000" w:sz="4" w:space="0"/>
            </w:tcBorders>
            <w:shd w:val="clear" w:color="auto" w:fill="auto"/>
            <w:vAlign w:val="center"/>
          </w:tcPr>
          <w:p w14:paraId="7F0BD2D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资助人数</w:t>
            </w:r>
          </w:p>
        </w:tc>
        <w:tc>
          <w:tcPr>
            <w:tcW w:w="191" w:type="pct"/>
            <w:tcBorders>
              <w:top w:val="nil"/>
              <w:left w:val="nil"/>
              <w:bottom w:val="single" w:color="000000" w:sz="4" w:space="0"/>
              <w:right w:val="single" w:color="000000" w:sz="4" w:space="0"/>
            </w:tcBorders>
            <w:shd w:val="clear" w:color="auto" w:fill="auto"/>
            <w:vAlign w:val="center"/>
          </w:tcPr>
          <w:p w14:paraId="79A7CBD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12" w:type="pct"/>
            <w:tcBorders>
              <w:top w:val="nil"/>
              <w:left w:val="nil"/>
              <w:bottom w:val="single" w:color="000000" w:sz="4" w:space="0"/>
              <w:right w:val="single" w:color="000000" w:sz="4" w:space="0"/>
            </w:tcBorders>
            <w:shd w:val="clear" w:color="auto" w:fill="auto"/>
            <w:vAlign w:val="center"/>
          </w:tcPr>
          <w:p w14:paraId="55B6EA1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300</w:t>
            </w:r>
          </w:p>
        </w:tc>
        <w:tc>
          <w:tcPr>
            <w:tcW w:w="193" w:type="pct"/>
            <w:tcBorders>
              <w:top w:val="nil"/>
              <w:left w:val="nil"/>
              <w:bottom w:val="single" w:color="000000" w:sz="4" w:space="0"/>
              <w:right w:val="single" w:color="000000" w:sz="4" w:space="0"/>
            </w:tcBorders>
            <w:shd w:val="clear" w:color="auto" w:fill="auto"/>
            <w:vAlign w:val="center"/>
          </w:tcPr>
          <w:p w14:paraId="614A60F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411" w:type="pct"/>
            <w:tcBorders>
              <w:top w:val="nil"/>
              <w:left w:val="nil"/>
              <w:bottom w:val="single" w:color="000000" w:sz="4" w:space="0"/>
              <w:right w:val="single" w:color="000000" w:sz="4" w:space="0"/>
            </w:tcBorders>
            <w:shd w:val="clear" w:color="auto" w:fill="auto"/>
            <w:vAlign w:val="center"/>
          </w:tcPr>
          <w:p w14:paraId="5E7D8FD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1030</w:t>
            </w:r>
          </w:p>
        </w:tc>
        <w:tc>
          <w:tcPr>
            <w:tcW w:w="235" w:type="pct"/>
            <w:gridSpan w:val="2"/>
            <w:tcBorders>
              <w:top w:val="nil"/>
              <w:left w:val="nil"/>
              <w:bottom w:val="single" w:color="000000" w:sz="4" w:space="0"/>
              <w:right w:val="single" w:color="000000" w:sz="4" w:space="0"/>
            </w:tcBorders>
            <w:shd w:val="clear" w:color="auto" w:fill="auto"/>
            <w:vAlign w:val="center"/>
          </w:tcPr>
          <w:p w14:paraId="5EA6354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91" w:type="pct"/>
            <w:tcBorders>
              <w:top w:val="nil"/>
              <w:left w:val="nil"/>
              <w:bottom w:val="single" w:color="000000" w:sz="4" w:space="0"/>
              <w:right w:val="single" w:color="000000" w:sz="4" w:space="0"/>
            </w:tcBorders>
            <w:shd w:val="clear" w:color="auto" w:fill="auto"/>
            <w:vAlign w:val="center"/>
          </w:tcPr>
          <w:p w14:paraId="38B8852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　</w:t>
            </w:r>
          </w:p>
        </w:tc>
        <w:tc>
          <w:tcPr>
            <w:tcW w:w="1121" w:type="pct"/>
            <w:tcBorders>
              <w:top w:val="nil"/>
              <w:left w:val="nil"/>
              <w:bottom w:val="single" w:color="000000" w:sz="4" w:space="0"/>
              <w:right w:val="single" w:color="000000" w:sz="4" w:space="0"/>
            </w:tcBorders>
            <w:shd w:val="clear" w:color="auto" w:fill="auto"/>
            <w:vAlign w:val="center"/>
          </w:tcPr>
          <w:p w14:paraId="38C564B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0F488B0">
        <w:tblPrEx>
          <w:tblCellMar>
            <w:top w:w="0" w:type="dxa"/>
            <w:left w:w="108" w:type="dxa"/>
            <w:bottom w:w="0" w:type="dxa"/>
            <w:right w:w="108" w:type="dxa"/>
          </w:tblCellMar>
        </w:tblPrEx>
        <w:trPr>
          <w:trHeight w:val="338" w:hRule="atLeast"/>
        </w:trPr>
        <w:tc>
          <w:tcPr>
            <w:tcW w:w="546" w:type="pct"/>
            <w:vMerge w:val="continue"/>
            <w:tcBorders>
              <w:top w:val="nil"/>
              <w:left w:val="single" w:color="000000" w:sz="4" w:space="0"/>
              <w:bottom w:val="single" w:color="000000" w:sz="4" w:space="0"/>
              <w:right w:val="single" w:color="000000" w:sz="4" w:space="0"/>
            </w:tcBorders>
            <w:vAlign w:val="center"/>
          </w:tcPr>
          <w:p w14:paraId="56DFC247">
            <w:pPr>
              <w:widowControl/>
              <w:jc w:val="left"/>
              <w:rPr>
                <w:rFonts w:ascii="宋体" w:hAnsi="宋体" w:eastAsia="宋体" w:cs="宋体"/>
                <w:color w:val="000000"/>
                <w:kern w:val="0"/>
                <w:sz w:val="18"/>
                <w:szCs w:val="18"/>
              </w:rPr>
            </w:pPr>
          </w:p>
        </w:tc>
        <w:tc>
          <w:tcPr>
            <w:tcW w:w="618" w:type="pct"/>
            <w:gridSpan w:val="2"/>
            <w:vMerge w:val="continue"/>
            <w:tcBorders>
              <w:top w:val="nil"/>
              <w:left w:val="single" w:color="000000" w:sz="4" w:space="0"/>
              <w:bottom w:val="single" w:color="000000" w:sz="4" w:space="0"/>
              <w:right w:val="single" w:color="000000" w:sz="4" w:space="0"/>
            </w:tcBorders>
            <w:vAlign w:val="center"/>
          </w:tcPr>
          <w:p w14:paraId="4B619B9D">
            <w:pPr>
              <w:widowControl/>
              <w:jc w:val="left"/>
              <w:rPr>
                <w:rFonts w:ascii="宋体" w:hAnsi="宋体" w:eastAsia="宋体" w:cs="宋体"/>
                <w:color w:val="000000"/>
                <w:kern w:val="0"/>
                <w:sz w:val="18"/>
                <w:szCs w:val="18"/>
              </w:rPr>
            </w:pPr>
          </w:p>
        </w:tc>
        <w:tc>
          <w:tcPr>
            <w:tcW w:w="501" w:type="pct"/>
            <w:tcBorders>
              <w:top w:val="nil"/>
              <w:left w:val="nil"/>
              <w:bottom w:val="single" w:color="000000" w:sz="4" w:space="0"/>
              <w:right w:val="single" w:color="000000" w:sz="4" w:space="0"/>
            </w:tcBorders>
            <w:shd w:val="clear" w:color="auto" w:fill="auto"/>
            <w:vAlign w:val="center"/>
          </w:tcPr>
          <w:p w14:paraId="2550BEB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580" w:type="pct"/>
            <w:tcBorders>
              <w:top w:val="nil"/>
              <w:left w:val="nil"/>
              <w:bottom w:val="single" w:color="000000" w:sz="4" w:space="0"/>
              <w:right w:val="single" w:color="000000" w:sz="4" w:space="0"/>
            </w:tcBorders>
            <w:shd w:val="clear" w:color="auto" w:fill="auto"/>
            <w:vAlign w:val="center"/>
          </w:tcPr>
          <w:p w14:paraId="09B5A3E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促进教育公平</w:t>
            </w:r>
          </w:p>
        </w:tc>
        <w:tc>
          <w:tcPr>
            <w:tcW w:w="191" w:type="pct"/>
            <w:tcBorders>
              <w:top w:val="nil"/>
              <w:left w:val="nil"/>
              <w:bottom w:val="single" w:color="000000" w:sz="4" w:space="0"/>
              <w:right w:val="single" w:color="000000" w:sz="4" w:space="0"/>
            </w:tcBorders>
            <w:shd w:val="clear" w:color="auto" w:fill="auto"/>
            <w:vAlign w:val="center"/>
          </w:tcPr>
          <w:p w14:paraId="56DC8B4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定性</w:t>
            </w:r>
          </w:p>
        </w:tc>
        <w:tc>
          <w:tcPr>
            <w:tcW w:w="412" w:type="pct"/>
            <w:tcBorders>
              <w:top w:val="nil"/>
              <w:left w:val="nil"/>
              <w:bottom w:val="single" w:color="000000" w:sz="4" w:space="0"/>
              <w:right w:val="single" w:color="000000" w:sz="4" w:space="0"/>
            </w:tcBorders>
            <w:shd w:val="clear" w:color="auto" w:fill="auto"/>
            <w:vAlign w:val="center"/>
          </w:tcPr>
          <w:p w14:paraId="2BE5E4D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优良中低差</w:t>
            </w:r>
          </w:p>
        </w:tc>
        <w:tc>
          <w:tcPr>
            <w:tcW w:w="193" w:type="pct"/>
            <w:tcBorders>
              <w:top w:val="nil"/>
              <w:left w:val="nil"/>
              <w:bottom w:val="single" w:color="000000" w:sz="4" w:space="0"/>
              <w:right w:val="single" w:color="000000" w:sz="4" w:space="0"/>
            </w:tcBorders>
            <w:shd w:val="clear" w:color="auto" w:fill="auto"/>
            <w:vAlign w:val="center"/>
          </w:tcPr>
          <w:p w14:paraId="1230D83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11" w:type="pct"/>
            <w:tcBorders>
              <w:top w:val="nil"/>
              <w:left w:val="nil"/>
              <w:bottom w:val="single" w:color="000000" w:sz="4" w:space="0"/>
              <w:right w:val="single" w:color="000000" w:sz="4" w:space="0"/>
            </w:tcBorders>
            <w:shd w:val="clear" w:color="auto" w:fill="auto"/>
            <w:vAlign w:val="center"/>
          </w:tcPr>
          <w:p w14:paraId="179AE56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35" w:type="pct"/>
            <w:gridSpan w:val="2"/>
            <w:tcBorders>
              <w:top w:val="nil"/>
              <w:left w:val="nil"/>
              <w:bottom w:val="single" w:color="000000" w:sz="4" w:space="0"/>
              <w:right w:val="single" w:color="000000" w:sz="4" w:space="0"/>
            </w:tcBorders>
            <w:shd w:val="clear" w:color="auto" w:fill="auto"/>
            <w:vAlign w:val="center"/>
          </w:tcPr>
          <w:p w14:paraId="5EF757D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91" w:type="pct"/>
            <w:tcBorders>
              <w:top w:val="nil"/>
              <w:left w:val="nil"/>
              <w:bottom w:val="single" w:color="000000" w:sz="4" w:space="0"/>
              <w:right w:val="single" w:color="000000" w:sz="4" w:space="0"/>
            </w:tcBorders>
            <w:shd w:val="clear" w:color="auto" w:fill="auto"/>
            <w:vAlign w:val="center"/>
          </w:tcPr>
          <w:p w14:paraId="7BB9A63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121" w:type="pct"/>
            <w:tcBorders>
              <w:top w:val="nil"/>
              <w:left w:val="nil"/>
              <w:bottom w:val="single" w:color="000000" w:sz="4" w:space="0"/>
              <w:right w:val="single" w:color="000000" w:sz="4" w:space="0"/>
            </w:tcBorders>
            <w:shd w:val="clear" w:color="auto" w:fill="auto"/>
            <w:vAlign w:val="center"/>
          </w:tcPr>
          <w:p w14:paraId="0A9E9FD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6402217">
        <w:tblPrEx>
          <w:tblCellMar>
            <w:top w:w="0" w:type="dxa"/>
            <w:left w:w="108" w:type="dxa"/>
            <w:bottom w:w="0" w:type="dxa"/>
            <w:right w:w="108" w:type="dxa"/>
          </w:tblCellMar>
        </w:tblPrEx>
        <w:trPr>
          <w:trHeight w:val="338" w:hRule="atLeast"/>
        </w:trPr>
        <w:tc>
          <w:tcPr>
            <w:tcW w:w="546" w:type="pct"/>
            <w:vMerge w:val="continue"/>
            <w:tcBorders>
              <w:top w:val="nil"/>
              <w:left w:val="single" w:color="000000" w:sz="4" w:space="0"/>
              <w:bottom w:val="single" w:color="000000" w:sz="4" w:space="0"/>
              <w:right w:val="single" w:color="000000" w:sz="4" w:space="0"/>
            </w:tcBorders>
            <w:vAlign w:val="center"/>
          </w:tcPr>
          <w:p w14:paraId="3C171A36">
            <w:pPr>
              <w:widowControl/>
              <w:jc w:val="left"/>
              <w:rPr>
                <w:rFonts w:ascii="宋体" w:hAnsi="宋体" w:eastAsia="宋体" w:cs="宋体"/>
                <w:color w:val="000000"/>
                <w:kern w:val="0"/>
                <w:sz w:val="18"/>
                <w:szCs w:val="18"/>
              </w:rPr>
            </w:pPr>
          </w:p>
        </w:tc>
        <w:tc>
          <w:tcPr>
            <w:tcW w:w="618" w:type="pct"/>
            <w:gridSpan w:val="2"/>
            <w:tcBorders>
              <w:top w:val="nil"/>
              <w:left w:val="nil"/>
              <w:bottom w:val="single" w:color="000000" w:sz="4" w:space="0"/>
              <w:right w:val="single" w:color="000000" w:sz="4" w:space="0"/>
            </w:tcBorders>
            <w:shd w:val="clear" w:color="auto" w:fill="auto"/>
            <w:vAlign w:val="center"/>
          </w:tcPr>
          <w:p w14:paraId="3CC6504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效益指标</w:t>
            </w:r>
          </w:p>
        </w:tc>
        <w:tc>
          <w:tcPr>
            <w:tcW w:w="501" w:type="pct"/>
            <w:tcBorders>
              <w:top w:val="nil"/>
              <w:left w:val="nil"/>
              <w:bottom w:val="single" w:color="000000" w:sz="4" w:space="0"/>
              <w:right w:val="single" w:color="000000" w:sz="4" w:space="0"/>
            </w:tcBorders>
            <w:shd w:val="clear" w:color="auto" w:fill="auto"/>
            <w:vAlign w:val="center"/>
          </w:tcPr>
          <w:p w14:paraId="5EE4798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社会效益指标</w:t>
            </w:r>
          </w:p>
        </w:tc>
        <w:tc>
          <w:tcPr>
            <w:tcW w:w="580" w:type="pct"/>
            <w:tcBorders>
              <w:top w:val="nil"/>
              <w:left w:val="nil"/>
              <w:bottom w:val="single" w:color="000000" w:sz="4" w:space="0"/>
              <w:right w:val="single" w:color="000000" w:sz="4" w:space="0"/>
            </w:tcBorders>
            <w:shd w:val="clear" w:color="auto" w:fill="auto"/>
            <w:vAlign w:val="center"/>
          </w:tcPr>
          <w:p w14:paraId="38316F1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提高学生就业率</w:t>
            </w:r>
          </w:p>
        </w:tc>
        <w:tc>
          <w:tcPr>
            <w:tcW w:w="191" w:type="pct"/>
            <w:tcBorders>
              <w:top w:val="nil"/>
              <w:left w:val="nil"/>
              <w:bottom w:val="single" w:color="000000" w:sz="4" w:space="0"/>
              <w:right w:val="single" w:color="000000" w:sz="4" w:space="0"/>
            </w:tcBorders>
            <w:shd w:val="clear" w:color="auto" w:fill="auto"/>
            <w:vAlign w:val="center"/>
          </w:tcPr>
          <w:p w14:paraId="29047B7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12" w:type="pct"/>
            <w:tcBorders>
              <w:top w:val="nil"/>
              <w:left w:val="nil"/>
              <w:bottom w:val="single" w:color="000000" w:sz="4" w:space="0"/>
              <w:right w:val="single" w:color="000000" w:sz="4" w:space="0"/>
            </w:tcBorders>
            <w:shd w:val="clear" w:color="auto" w:fill="auto"/>
            <w:vAlign w:val="center"/>
          </w:tcPr>
          <w:p w14:paraId="5D44D64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92</w:t>
            </w:r>
          </w:p>
        </w:tc>
        <w:tc>
          <w:tcPr>
            <w:tcW w:w="193" w:type="pct"/>
            <w:tcBorders>
              <w:top w:val="nil"/>
              <w:left w:val="nil"/>
              <w:bottom w:val="single" w:color="000000" w:sz="4" w:space="0"/>
              <w:right w:val="single" w:color="000000" w:sz="4" w:space="0"/>
            </w:tcBorders>
            <w:shd w:val="clear" w:color="auto" w:fill="auto"/>
            <w:vAlign w:val="center"/>
          </w:tcPr>
          <w:p w14:paraId="370ED2C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11" w:type="pct"/>
            <w:tcBorders>
              <w:top w:val="nil"/>
              <w:left w:val="nil"/>
              <w:bottom w:val="single" w:color="000000" w:sz="4" w:space="0"/>
              <w:right w:val="single" w:color="000000" w:sz="4" w:space="0"/>
            </w:tcBorders>
            <w:shd w:val="clear" w:color="auto" w:fill="auto"/>
            <w:vAlign w:val="center"/>
          </w:tcPr>
          <w:p w14:paraId="52BA399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92</w:t>
            </w:r>
          </w:p>
        </w:tc>
        <w:tc>
          <w:tcPr>
            <w:tcW w:w="235" w:type="pct"/>
            <w:gridSpan w:val="2"/>
            <w:tcBorders>
              <w:top w:val="nil"/>
              <w:left w:val="nil"/>
              <w:bottom w:val="single" w:color="000000" w:sz="4" w:space="0"/>
              <w:right w:val="single" w:color="000000" w:sz="4" w:space="0"/>
            </w:tcBorders>
            <w:shd w:val="clear" w:color="auto" w:fill="auto"/>
            <w:vAlign w:val="center"/>
          </w:tcPr>
          <w:p w14:paraId="2AFDA7D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91" w:type="pct"/>
            <w:tcBorders>
              <w:top w:val="nil"/>
              <w:left w:val="nil"/>
              <w:bottom w:val="single" w:color="000000" w:sz="4" w:space="0"/>
              <w:right w:val="single" w:color="000000" w:sz="4" w:space="0"/>
            </w:tcBorders>
            <w:shd w:val="clear" w:color="auto" w:fill="auto"/>
            <w:vAlign w:val="center"/>
          </w:tcPr>
          <w:p w14:paraId="0EC6995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　</w:t>
            </w:r>
          </w:p>
        </w:tc>
        <w:tc>
          <w:tcPr>
            <w:tcW w:w="1121" w:type="pct"/>
            <w:tcBorders>
              <w:top w:val="nil"/>
              <w:left w:val="nil"/>
              <w:bottom w:val="single" w:color="000000" w:sz="4" w:space="0"/>
              <w:right w:val="single" w:color="000000" w:sz="4" w:space="0"/>
            </w:tcBorders>
            <w:shd w:val="clear" w:color="auto" w:fill="auto"/>
            <w:vAlign w:val="center"/>
          </w:tcPr>
          <w:p w14:paraId="7B06DBF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BCB71AC">
        <w:tblPrEx>
          <w:tblCellMar>
            <w:top w:w="0" w:type="dxa"/>
            <w:left w:w="108" w:type="dxa"/>
            <w:bottom w:w="0" w:type="dxa"/>
            <w:right w:w="108" w:type="dxa"/>
          </w:tblCellMar>
        </w:tblPrEx>
        <w:trPr>
          <w:trHeight w:val="338" w:hRule="atLeast"/>
        </w:trPr>
        <w:tc>
          <w:tcPr>
            <w:tcW w:w="546" w:type="pct"/>
            <w:vMerge w:val="continue"/>
            <w:tcBorders>
              <w:top w:val="nil"/>
              <w:left w:val="single" w:color="000000" w:sz="4" w:space="0"/>
              <w:bottom w:val="single" w:color="000000" w:sz="4" w:space="0"/>
              <w:right w:val="single" w:color="000000" w:sz="4" w:space="0"/>
            </w:tcBorders>
            <w:vAlign w:val="center"/>
          </w:tcPr>
          <w:p w14:paraId="03F604E6">
            <w:pPr>
              <w:widowControl/>
              <w:jc w:val="left"/>
              <w:rPr>
                <w:rFonts w:ascii="宋体" w:hAnsi="宋体" w:eastAsia="宋体" w:cs="宋体"/>
                <w:color w:val="000000"/>
                <w:kern w:val="0"/>
                <w:sz w:val="18"/>
                <w:szCs w:val="18"/>
              </w:rPr>
            </w:pPr>
          </w:p>
        </w:tc>
        <w:tc>
          <w:tcPr>
            <w:tcW w:w="618" w:type="pct"/>
            <w:gridSpan w:val="2"/>
            <w:tcBorders>
              <w:top w:val="nil"/>
              <w:left w:val="nil"/>
              <w:bottom w:val="single" w:color="000000" w:sz="4" w:space="0"/>
              <w:right w:val="single" w:color="000000" w:sz="4" w:space="0"/>
            </w:tcBorders>
            <w:shd w:val="clear" w:color="auto" w:fill="auto"/>
            <w:vAlign w:val="center"/>
          </w:tcPr>
          <w:p w14:paraId="657C2F2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501" w:type="pct"/>
            <w:tcBorders>
              <w:top w:val="nil"/>
              <w:left w:val="nil"/>
              <w:bottom w:val="single" w:color="000000" w:sz="4" w:space="0"/>
              <w:right w:val="single" w:color="000000" w:sz="4" w:space="0"/>
            </w:tcBorders>
            <w:shd w:val="clear" w:color="auto" w:fill="auto"/>
            <w:vAlign w:val="center"/>
          </w:tcPr>
          <w:p w14:paraId="6C6A6D9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580" w:type="pct"/>
            <w:tcBorders>
              <w:top w:val="nil"/>
              <w:left w:val="nil"/>
              <w:bottom w:val="single" w:color="000000" w:sz="4" w:space="0"/>
              <w:right w:val="single" w:color="000000" w:sz="4" w:space="0"/>
            </w:tcBorders>
            <w:shd w:val="clear" w:color="auto" w:fill="auto"/>
            <w:vAlign w:val="center"/>
          </w:tcPr>
          <w:p w14:paraId="5BA269D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学生及家长满意度</w:t>
            </w:r>
          </w:p>
        </w:tc>
        <w:tc>
          <w:tcPr>
            <w:tcW w:w="191" w:type="pct"/>
            <w:tcBorders>
              <w:top w:val="nil"/>
              <w:left w:val="nil"/>
              <w:bottom w:val="single" w:color="000000" w:sz="4" w:space="0"/>
              <w:right w:val="single" w:color="000000" w:sz="4" w:space="0"/>
            </w:tcBorders>
            <w:shd w:val="clear" w:color="auto" w:fill="auto"/>
            <w:vAlign w:val="center"/>
          </w:tcPr>
          <w:p w14:paraId="5F35654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12" w:type="pct"/>
            <w:tcBorders>
              <w:top w:val="nil"/>
              <w:left w:val="nil"/>
              <w:bottom w:val="single" w:color="000000" w:sz="4" w:space="0"/>
              <w:right w:val="single" w:color="000000" w:sz="4" w:space="0"/>
            </w:tcBorders>
            <w:shd w:val="clear" w:color="auto" w:fill="auto"/>
            <w:vAlign w:val="center"/>
          </w:tcPr>
          <w:p w14:paraId="53883F9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95</w:t>
            </w:r>
          </w:p>
        </w:tc>
        <w:tc>
          <w:tcPr>
            <w:tcW w:w="193" w:type="pct"/>
            <w:tcBorders>
              <w:top w:val="nil"/>
              <w:left w:val="nil"/>
              <w:bottom w:val="single" w:color="000000" w:sz="4" w:space="0"/>
              <w:right w:val="single" w:color="000000" w:sz="4" w:space="0"/>
            </w:tcBorders>
            <w:shd w:val="clear" w:color="auto" w:fill="auto"/>
            <w:vAlign w:val="center"/>
          </w:tcPr>
          <w:p w14:paraId="6FE4C99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11" w:type="pct"/>
            <w:tcBorders>
              <w:top w:val="nil"/>
              <w:left w:val="nil"/>
              <w:bottom w:val="single" w:color="000000" w:sz="4" w:space="0"/>
              <w:right w:val="single" w:color="000000" w:sz="4" w:space="0"/>
            </w:tcBorders>
            <w:shd w:val="clear" w:color="auto" w:fill="auto"/>
            <w:vAlign w:val="center"/>
          </w:tcPr>
          <w:p w14:paraId="7E579A9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95</w:t>
            </w:r>
          </w:p>
        </w:tc>
        <w:tc>
          <w:tcPr>
            <w:tcW w:w="235" w:type="pct"/>
            <w:gridSpan w:val="2"/>
            <w:tcBorders>
              <w:top w:val="nil"/>
              <w:left w:val="nil"/>
              <w:bottom w:val="single" w:color="000000" w:sz="4" w:space="0"/>
              <w:right w:val="single" w:color="000000" w:sz="4" w:space="0"/>
            </w:tcBorders>
            <w:shd w:val="clear" w:color="auto" w:fill="auto"/>
            <w:vAlign w:val="center"/>
          </w:tcPr>
          <w:p w14:paraId="503DE47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91" w:type="pct"/>
            <w:tcBorders>
              <w:top w:val="nil"/>
              <w:left w:val="nil"/>
              <w:bottom w:val="single" w:color="000000" w:sz="4" w:space="0"/>
              <w:right w:val="single" w:color="000000" w:sz="4" w:space="0"/>
            </w:tcBorders>
            <w:shd w:val="clear" w:color="auto" w:fill="auto"/>
            <w:vAlign w:val="center"/>
          </w:tcPr>
          <w:p w14:paraId="6CBD1CE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　</w:t>
            </w:r>
          </w:p>
        </w:tc>
        <w:tc>
          <w:tcPr>
            <w:tcW w:w="1121" w:type="pct"/>
            <w:tcBorders>
              <w:top w:val="nil"/>
              <w:left w:val="nil"/>
              <w:bottom w:val="single" w:color="000000" w:sz="4" w:space="0"/>
              <w:right w:val="single" w:color="000000" w:sz="4" w:space="0"/>
            </w:tcBorders>
            <w:shd w:val="clear" w:color="auto" w:fill="auto"/>
            <w:vAlign w:val="center"/>
          </w:tcPr>
          <w:p w14:paraId="34D984C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1B306B4">
        <w:tblPrEx>
          <w:tblCellMar>
            <w:top w:w="0" w:type="dxa"/>
            <w:left w:w="108" w:type="dxa"/>
            <w:bottom w:w="0" w:type="dxa"/>
            <w:right w:w="108" w:type="dxa"/>
          </w:tblCellMar>
        </w:tblPrEx>
        <w:trPr>
          <w:trHeight w:val="285" w:hRule="atLeast"/>
        </w:trPr>
        <w:tc>
          <w:tcPr>
            <w:tcW w:w="345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055A1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235" w:type="pct"/>
            <w:gridSpan w:val="2"/>
            <w:tcBorders>
              <w:top w:val="nil"/>
              <w:left w:val="nil"/>
              <w:bottom w:val="single" w:color="000000" w:sz="4" w:space="0"/>
              <w:right w:val="single" w:color="000000" w:sz="4" w:space="0"/>
            </w:tcBorders>
            <w:shd w:val="clear" w:color="auto" w:fill="auto"/>
            <w:vAlign w:val="center"/>
          </w:tcPr>
          <w:p w14:paraId="4CE15BC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191" w:type="pct"/>
            <w:tcBorders>
              <w:top w:val="nil"/>
              <w:left w:val="nil"/>
              <w:bottom w:val="single" w:color="000000" w:sz="4" w:space="0"/>
              <w:right w:val="single" w:color="000000" w:sz="4" w:space="0"/>
            </w:tcBorders>
            <w:shd w:val="clear" w:color="auto" w:fill="auto"/>
            <w:vAlign w:val="center"/>
          </w:tcPr>
          <w:p w14:paraId="0EEFC78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99</w:t>
            </w:r>
          </w:p>
        </w:tc>
        <w:tc>
          <w:tcPr>
            <w:tcW w:w="1121" w:type="pct"/>
            <w:tcBorders>
              <w:top w:val="nil"/>
              <w:left w:val="nil"/>
              <w:bottom w:val="single" w:color="000000" w:sz="4" w:space="0"/>
              <w:right w:val="single" w:color="000000" w:sz="4" w:space="0"/>
            </w:tcBorders>
            <w:shd w:val="clear" w:color="auto" w:fill="auto"/>
            <w:vAlign w:val="center"/>
          </w:tcPr>
          <w:p w14:paraId="3C23D6C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1BDB67D">
        <w:tblPrEx>
          <w:tblCellMar>
            <w:top w:w="0" w:type="dxa"/>
            <w:left w:w="108" w:type="dxa"/>
            <w:bottom w:w="0" w:type="dxa"/>
            <w:right w:w="108" w:type="dxa"/>
          </w:tblCellMar>
        </w:tblPrEx>
        <w:trPr>
          <w:trHeight w:val="604" w:hRule="atLeast"/>
        </w:trPr>
        <w:tc>
          <w:tcPr>
            <w:tcW w:w="702" w:type="pct"/>
            <w:gridSpan w:val="2"/>
            <w:tcBorders>
              <w:top w:val="nil"/>
              <w:left w:val="single" w:color="000000" w:sz="4" w:space="0"/>
              <w:bottom w:val="single" w:color="000000" w:sz="4" w:space="0"/>
              <w:right w:val="single" w:color="000000" w:sz="4" w:space="0"/>
            </w:tcBorders>
            <w:shd w:val="clear" w:color="auto" w:fill="auto"/>
            <w:vAlign w:val="center"/>
          </w:tcPr>
          <w:p w14:paraId="3F04496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评价结论</w:t>
            </w:r>
          </w:p>
        </w:tc>
        <w:tc>
          <w:tcPr>
            <w:tcW w:w="4298" w:type="pct"/>
            <w:gridSpan w:val="11"/>
            <w:tcBorders>
              <w:top w:val="single" w:color="000000" w:sz="4" w:space="0"/>
              <w:left w:val="nil"/>
              <w:bottom w:val="single" w:color="000000" w:sz="4" w:space="0"/>
              <w:right w:val="single" w:color="000000" w:sz="4" w:space="0"/>
            </w:tcBorders>
            <w:shd w:val="clear" w:color="auto" w:fill="auto"/>
            <w:vAlign w:val="center"/>
          </w:tcPr>
          <w:p w14:paraId="18DC060C">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本项目免学费资金用于支付学院公用经费，保障学院正常教育教学秩序，加强专业建设，提高教学质量，更好地培养输送人才。奖助学金用于资助困难学生，发放优秀学生奖学金，促进了教育公平。</w:t>
            </w:r>
          </w:p>
        </w:tc>
      </w:tr>
      <w:tr w14:paraId="429AEF74">
        <w:tblPrEx>
          <w:tblCellMar>
            <w:top w:w="0" w:type="dxa"/>
            <w:left w:w="108" w:type="dxa"/>
            <w:bottom w:w="0" w:type="dxa"/>
            <w:right w:w="108" w:type="dxa"/>
          </w:tblCellMar>
        </w:tblPrEx>
        <w:trPr>
          <w:trHeight w:val="574" w:hRule="atLeast"/>
        </w:trPr>
        <w:tc>
          <w:tcPr>
            <w:tcW w:w="702" w:type="pct"/>
            <w:gridSpan w:val="2"/>
            <w:tcBorders>
              <w:top w:val="nil"/>
              <w:left w:val="single" w:color="000000" w:sz="4" w:space="0"/>
              <w:bottom w:val="single" w:color="000000" w:sz="4" w:space="0"/>
              <w:right w:val="single" w:color="000000" w:sz="4" w:space="0"/>
            </w:tcBorders>
            <w:shd w:val="clear" w:color="auto" w:fill="auto"/>
            <w:vAlign w:val="center"/>
          </w:tcPr>
          <w:p w14:paraId="1956E37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存在问题</w:t>
            </w:r>
          </w:p>
        </w:tc>
        <w:tc>
          <w:tcPr>
            <w:tcW w:w="4298" w:type="pct"/>
            <w:gridSpan w:val="11"/>
            <w:tcBorders>
              <w:top w:val="single" w:color="000000" w:sz="4" w:space="0"/>
              <w:left w:val="nil"/>
              <w:bottom w:val="single" w:color="000000" w:sz="4" w:space="0"/>
              <w:right w:val="single" w:color="000000" w:sz="4" w:space="0"/>
            </w:tcBorders>
            <w:shd w:val="clear" w:color="auto" w:fill="auto"/>
            <w:vAlign w:val="center"/>
          </w:tcPr>
          <w:p w14:paraId="4ED4D6EF">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本项目严格按预算、按计划执行，执行过程严格按相关政策流程，但还需提高预算编制精准度。</w:t>
            </w:r>
          </w:p>
        </w:tc>
      </w:tr>
      <w:tr w14:paraId="266C03F6">
        <w:tblPrEx>
          <w:tblCellMar>
            <w:top w:w="0" w:type="dxa"/>
            <w:left w:w="108" w:type="dxa"/>
            <w:bottom w:w="0" w:type="dxa"/>
            <w:right w:w="108" w:type="dxa"/>
          </w:tblCellMar>
        </w:tblPrEx>
        <w:trPr>
          <w:trHeight w:val="375" w:hRule="atLeast"/>
        </w:trPr>
        <w:tc>
          <w:tcPr>
            <w:tcW w:w="702" w:type="pct"/>
            <w:gridSpan w:val="2"/>
            <w:tcBorders>
              <w:top w:val="nil"/>
              <w:left w:val="single" w:color="000000" w:sz="4" w:space="0"/>
              <w:bottom w:val="single" w:color="000000" w:sz="4" w:space="0"/>
              <w:right w:val="single" w:color="000000" w:sz="4" w:space="0"/>
            </w:tcBorders>
            <w:shd w:val="clear" w:color="auto" w:fill="auto"/>
            <w:vAlign w:val="center"/>
          </w:tcPr>
          <w:p w14:paraId="5EECDCC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改进措施</w:t>
            </w:r>
          </w:p>
        </w:tc>
        <w:tc>
          <w:tcPr>
            <w:tcW w:w="4298" w:type="pct"/>
            <w:gridSpan w:val="11"/>
            <w:tcBorders>
              <w:top w:val="single" w:color="000000" w:sz="4" w:space="0"/>
              <w:left w:val="nil"/>
              <w:bottom w:val="single" w:color="000000" w:sz="4" w:space="0"/>
              <w:right w:val="single" w:color="000000" w:sz="4" w:space="0"/>
            </w:tcBorders>
            <w:shd w:val="clear" w:color="auto" w:fill="auto"/>
            <w:vAlign w:val="center"/>
          </w:tcPr>
          <w:p w14:paraId="081044DE">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协同单位各部门，制定合理细致全面的资金使用计划，更好地提高资金使用效益。</w:t>
            </w:r>
          </w:p>
        </w:tc>
      </w:tr>
      <w:tr w14:paraId="4FF92B43">
        <w:tblPrEx>
          <w:tblCellMar>
            <w:top w:w="0" w:type="dxa"/>
            <w:left w:w="108" w:type="dxa"/>
            <w:bottom w:w="0" w:type="dxa"/>
            <w:right w:w="108" w:type="dxa"/>
          </w:tblCellMar>
        </w:tblPrEx>
        <w:trPr>
          <w:trHeight w:val="285" w:hRule="atLeast"/>
        </w:trPr>
        <w:tc>
          <w:tcPr>
            <w:tcW w:w="24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C891ED">
            <w:pPr>
              <w:widowControl/>
              <w:jc w:val="left"/>
              <w:rPr>
                <w:rFonts w:hint="eastAsia" w:ascii="黑体" w:hAnsi="黑体" w:eastAsia="宋体" w:cs="宋体"/>
                <w:color w:val="000000"/>
                <w:kern w:val="0"/>
                <w:sz w:val="18"/>
                <w:szCs w:val="18"/>
              </w:rPr>
            </w:pPr>
            <w:r>
              <w:rPr>
                <w:rFonts w:ascii="黑体" w:hAnsi="黑体" w:eastAsia="宋体" w:cs="宋体"/>
                <w:color w:val="000000"/>
                <w:kern w:val="0"/>
                <w:sz w:val="18"/>
                <w:szCs w:val="18"/>
              </w:rPr>
              <w:t>项目负责人：李秀英</w:t>
            </w:r>
          </w:p>
        </w:tc>
        <w:tc>
          <w:tcPr>
            <w:tcW w:w="2564" w:type="pct"/>
            <w:gridSpan w:val="7"/>
            <w:tcBorders>
              <w:top w:val="single" w:color="000000" w:sz="4" w:space="0"/>
              <w:left w:val="nil"/>
              <w:bottom w:val="single" w:color="000000" w:sz="4" w:space="0"/>
              <w:right w:val="single" w:color="000000" w:sz="4" w:space="0"/>
            </w:tcBorders>
            <w:shd w:val="clear" w:color="auto" w:fill="auto"/>
            <w:vAlign w:val="center"/>
          </w:tcPr>
          <w:p w14:paraId="44D649E6">
            <w:pPr>
              <w:widowControl/>
              <w:jc w:val="left"/>
              <w:rPr>
                <w:rFonts w:hint="eastAsia" w:ascii="黑体" w:hAnsi="黑体" w:eastAsia="宋体" w:cs="宋体"/>
                <w:color w:val="000000"/>
                <w:kern w:val="0"/>
                <w:sz w:val="18"/>
                <w:szCs w:val="18"/>
              </w:rPr>
            </w:pPr>
            <w:r>
              <w:rPr>
                <w:rFonts w:ascii="黑体" w:hAnsi="黑体" w:eastAsia="宋体" w:cs="宋体"/>
                <w:color w:val="000000"/>
                <w:kern w:val="0"/>
                <w:sz w:val="18"/>
                <w:szCs w:val="18"/>
              </w:rPr>
              <w:t>财务负责人：张玲</w:t>
            </w:r>
          </w:p>
        </w:tc>
      </w:tr>
    </w:tbl>
    <w:tbl>
      <w:tblPr>
        <w:tblStyle w:val="13"/>
        <w:tblpPr w:leftFromText="180" w:rightFromText="180" w:vertAnchor="text" w:horzAnchor="margin" w:tblpXSpec="center" w:tblpY="-14"/>
        <w:tblW w:w="6072" w:type="pct"/>
        <w:tblInd w:w="0" w:type="dxa"/>
        <w:tblLayout w:type="fixed"/>
        <w:tblCellMar>
          <w:top w:w="0" w:type="dxa"/>
          <w:left w:w="108" w:type="dxa"/>
          <w:bottom w:w="0" w:type="dxa"/>
          <w:right w:w="108" w:type="dxa"/>
        </w:tblCellMar>
      </w:tblPr>
      <w:tblGrid>
        <w:gridCol w:w="1456"/>
        <w:gridCol w:w="1091"/>
        <w:gridCol w:w="1008"/>
        <w:gridCol w:w="1105"/>
        <w:gridCol w:w="385"/>
        <w:gridCol w:w="211"/>
        <w:gridCol w:w="652"/>
        <w:gridCol w:w="397"/>
        <w:gridCol w:w="228"/>
        <w:gridCol w:w="625"/>
        <w:gridCol w:w="41"/>
        <w:gridCol w:w="604"/>
        <w:gridCol w:w="528"/>
        <w:gridCol w:w="2018"/>
      </w:tblGrid>
      <w:tr w14:paraId="2EBAD196">
        <w:tblPrEx>
          <w:tblCellMar>
            <w:top w:w="0" w:type="dxa"/>
            <w:left w:w="108" w:type="dxa"/>
            <w:bottom w:w="0" w:type="dxa"/>
            <w:right w:w="108" w:type="dxa"/>
          </w:tblCellMar>
        </w:tblPrEx>
        <w:trPr>
          <w:trHeight w:val="70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CFED49D">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7AEA128D">
        <w:tblPrEx>
          <w:tblCellMar>
            <w:top w:w="0" w:type="dxa"/>
            <w:left w:w="108" w:type="dxa"/>
            <w:bottom w:w="0" w:type="dxa"/>
            <w:right w:w="108" w:type="dxa"/>
          </w:tblCellMar>
        </w:tblPrEx>
        <w:trPr>
          <w:trHeight w:val="285" w:hRule="atLeast"/>
        </w:trPr>
        <w:tc>
          <w:tcPr>
            <w:tcW w:w="1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ECA8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3770" w:type="pct"/>
            <w:gridSpan w:val="12"/>
            <w:tcBorders>
              <w:top w:val="single" w:color="000000" w:sz="4" w:space="0"/>
              <w:left w:val="nil"/>
              <w:bottom w:val="single" w:color="000000" w:sz="4" w:space="0"/>
              <w:right w:val="single" w:color="000000" w:sz="4" w:space="0"/>
            </w:tcBorders>
            <w:shd w:val="clear" w:color="auto" w:fill="auto"/>
            <w:vAlign w:val="center"/>
          </w:tcPr>
          <w:p w14:paraId="0F7809E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51030023T000009218674-学生资助专项资金（上级）</w:t>
            </w:r>
          </w:p>
        </w:tc>
      </w:tr>
      <w:tr w14:paraId="45AE9CC1">
        <w:tblPrEx>
          <w:tblCellMar>
            <w:top w:w="0" w:type="dxa"/>
            <w:left w:w="108" w:type="dxa"/>
            <w:bottom w:w="0" w:type="dxa"/>
            <w:right w:w="108" w:type="dxa"/>
          </w:tblCellMar>
        </w:tblPrEx>
        <w:trPr>
          <w:trHeight w:val="514" w:hRule="atLeast"/>
        </w:trPr>
        <w:tc>
          <w:tcPr>
            <w:tcW w:w="1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9832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主管部门</w:t>
            </w:r>
          </w:p>
        </w:tc>
        <w:tc>
          <w:tcPr>
            <w:tcW w:w="1816" w:type="pct"/>
            <w:gridSpan w:val="6"/>
            <w:tcBorders>
              <w:top w:val="single" w:color="000000" w:sz="4" w:space="0"/>
              <w:left w:val="nil"/>
              <w:bottom w:val="single" w:color="000000" w:sz="4" w:space="0"/>
              <w:right w:val="single" w:color="000000" w:sz="4" w:space="0"/>
            </w:tcBorders>
            <w:shd w:val="clear" w:color="auto" w:fill="auto"/>
            <w:vAlign w:val="center"/>
          </w:tcPr>
          <w:p w14:paraId="731BF3C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自贡市人力资源和社会保障局部门</w:t>
            </w:r>
          </w:p>
        </w:tc>
        <w:tc>
          <w:tcPr>
            <w:tcW w:w="432" w:type="pct"/>
            <w:gridSpan w:val="3"/>
            <w:tcBorders>
              <w:top w:val="nil"/>
              <w:left w:val="nil"/>
              <w:bottom w:val="nil"/>
              <w:right w:val="nil"/>
            </w:tcBorders>
            <w:shd w:val="clear" w:color="auto" w:fill="auto"/>
            <w:vAlign w:val="center"/>
          </w:tcPr>
          <w:p w14:paraId="150EFD0F">
            <w:pPr>
              <w:widowControl/>
              <w:jc w:val="left"/>
              <w:rPr>
                <w:rFonts w:hint="eastAsia" w:ascii="黑体" w:hAnsi="黑体" w:eastAsia="宋体" w:cs="宋体"/>
                <w:color w:val="000000"/>
                <w:kern w:val="0"/>
                <w:sz w:val="18"/>
                <w:szCs w:val="18"/>
              </w:rPr>
            </w:pPr>
            <w:r>
              <w:rPr>
                <w:rFonts w:ascii="黑体" w:hAnsi="黑体" w:eastAsia="宋体" w:cs="宋体"/>
                <w:color w:val="000000"/>
                <w:kern w:val="0"/>
                <w:sz w:val="18"/>
                <w:szCs w:val="18"/>
              </w:rPr>
              <w:t>实施单位 （盖章）</w:t>
            </w:r>
          </w:p>
        </w:tc>
        <w:tc>
          <w:tcPr>
            <w:tcW w:w="15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9324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自贡市职业培训学院</w:t>
            </w:r>
          </w:p>
        </w:tc>
      </w:tr>
      <w:tr w14:paraId="0401D4AB">
        <w:tblPrEx>
          <w:tblCellMar>
            <w:top w:w="0" w:type="dxa"/>
            <w:left w:w="108" w:type="dxa"/>
            <w:bottom w:w="0" w:type="dxa"/>
            <w:right w:w="108" w:type="dxa"/>
          </w:tblCellMar>
        </w:tblPrEx>
        <w:trPr>
          <w:trHeight w:val="285" w:hRule="atLeast"/>
        </w:trPr>
        <w:tc>
          <w:tcPr>
            <w:tcW w:w="703" w:type="pct"/>
            <w:vMerge w:val="restart"/>
            <w:tcBorders>
              <w:top w:val="nil"/>
              <w:left w:val="single" w:color="000000" w:sz="4" w:space="0"/>
              <w:bottom w:val="single" w:color="000000" w:sz="4" w:space="0"/>
              <w:right w:val="single" w:color="000000" w:sz="4" w:space="0"/>
            </w:tcBorders>
            <w:shd w:val="clear" w:color="auto" w:fill="auto"/>
            <w:vAlign w:val="center"/>
          </w:tcPr>
          <w:p w14:paraId="34C3621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项目基本情况</w:t>
            </w:r>
          </w:p>
        </w:tc>
        <w:tc>
          <w:tcPr>
            <w:tcW w:w="527" w:type="pct"/>
            <w:vMerge w:val="restart"/>
            <w:tcBorders>
              <w:top w:val="nil"/>
              <w:left w:val="single" w:color="000000" w:sz="4" w:space="0"/>
              <w:bottom w:val="single" w:color="000000" w:sz="4" w:space="0"/>
              <w:right w:val="single" w:color="000000" w:sz="4" w:space="0"/>
            </w:tcBorders>
            <w:shd w:val="clear" w:color="auto" w:fill="auto"/>
            <w:vAlign w:val="center"/>
          </w:tcPr>
          <w:p w14:paraId="154D877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1.项目年度目标完成情况</w:t>
            </w:r>
          </w:p>
        </w:tc>
        <w:tc>
          <w:tcPr>
            <w:tcW w:w="1816" w:type="pct"/>
            <w:gridSpan w:val="6"/>
            <w:tcBorders>
              <w:top w:val="single" w:color="000000" w:sz="4" w:space="0"/>
              <w:left w:val="nil"/>
              <w:bottom w:val="single" w:color="000000" w:sz="4" w:space="0"/>
              <w:right w:val="single" w:color="000000" w:sz="4" w:space="0"/>
            </w:tcBorders>
            <w:shd w:val="clear" w:color="auto" w:fill="auto"/>
            <w:vAlign w:val="center"/>
          </w:tcPr>
          <w:p w14:paraId="6C743DA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项目年度目标</w:t>
            </w:r>
          </w:p>
        </w:tc>
        <w:tc>
          <w:tcPr>
            <w:tcW w:w="1954" w:type="pct"/>
            <w:gridSpan w:val="6"/>
            <w:tcBorders>
              <w:top w:val="single" w:color="000000" w:sz="4" w:space="0"/>
              <w:left w:val="nil"/>
              <w:bottom w:val="single" w:color="000000" w:sz="4" w:space="0"/>
              <w:right w:val="single" w:color="000000" w:sz="4" w:space="0"/>
            </w:tcBorders>
            <w:shd w:val="clear" w:color="auto" w:fill="auto"/>
            <w:vAlign w:val="center"/>
          </w:tcPr>
          <w:p w14:paraId="3747C889">
            <w:pPr>
              <w:widowControl/>
              <w:jc w:val="center"/>
              <w:rPr>
                <w:rFonts w:hint="eastAsia" w:ascii="黑体" w:hAnsi="黑体" w:eastAsia="宋体" w:cs="宋体"/>
                <w:color w:val="000000"/>
                <w:kern w:val="0"/>
                <w:sz w:val="18"/>
                <w:szCs w:val="18"/>
              </w:rPr>
            </w:pPr>
            <w:r>
              <w:rPr>
                <w:rFonts w:ascii="黑体" w:hAnsi="黑体" w:eastAsia="宋体" w:cs="宋体"/>
                <w:color w:val="000000"/>
                <w:kern w:val="0"/>
                <w:sz w:val="18"/>
                <w:szCs w:val="18"/>
              </w:rPr>
              <w:t>年度目标完成情况</w:t>
            </w:r>
          </w:p>
        </w:tc>
      </w:tr>
      <w:tr w14:paraId="56453429">
        <w:tblPrEx>
          <w:tblCellMar>
            <w:top w:w="0" w:type="dxa"/>
            <w:left w:w="108" w:type="dxa"/>
            <w:bottom w:w="0" w:type="dxa"/>
            <w:right w:w="108" w:type="dxa"/>
          </w:tblCellMar>
        </w:tblPrEx>
        <w:trPr>
          <w:trHeight w:val="1940" w:hRule="atLeast"/>
        </w:trPr>
        <w:tc>
          <w:tcPr>
            <w:tcW w:w="703" w:type="pct"/>
            <w:vMerge w:val="continue"/>
            <w:tcBorders>
              <w:top w:val="nil"/>
              <w:left w:val="single" w:color="000000" w:sz="4" w:space="0"/>
              <w:bottom w:val="single" w:color="000000" w:sz="4" w:space="0"/>
              <w:right w:val="single" w:color="000000" w:sz="4" w:space="0"/>
            </w:tcBorders>
            <w:vAlign w:val="center"/>
          </w:tcPr>
          <w:p w14:paraId="690FA8BE">
            <w:pPr>
              <w:widowControl/>
              <w:jc w:val="left"/>
              <w:rPr>
                <w:rFonts w:ascii="宋体" w:hAnsi="宋体" w:eastAsia="宋体" w:cs="宋体"/>
                <w:color w:val="000000"/>
                <w:kern w:val="0"/>
                <w:sz w:val="18"/>
                <w:szCs w:val="18"/>
              </w:rPr>
            </w:pPr>
          </w:p>
        </w:tc>
        <w:tc>
          <w:tcPr>
            <w:tcW w:w="527" w:type="pct"/>
            <w:vMerge w:val="continue"/>
            <w:tcBorders>
              <w:top w:val="nil"/>
              <w:left w:val="single" w:color="000000" w:sz="4" w:space="0"/>
              <w:bottom w:val="single" w:color="000000" w:sz="4" w:space="0"/>
              <w:right w:val="single" w:color="000000" w:sz="4" w:space="0"/>
            </w:tcBorders>
            <w:vAlign w:val="center"/>
          </w:tcPr>
          <w:p w14:paraId="1930EA23">
            <w:pPr>
              <w:widowControl/>
              <w:jc w:val="left"/>
              <w:rPr>
                <w:rFonts w:ascii="宋体" w:hAnsi="宋体" w:eastAsia="宋体" w:cs="宋体"/>
                <w:color w:val="000000"/>
                <w:kern w:val="0"/>
                <w:sz w:val="18"/>
                <w:szCs w:val="18"/>
              </w:rPr>
            </w:pPr>
          </w:p>
        </w:tc>
        <w:tc>
          <w:tcPr>
            <w:tcW w:w="1816" w:type="pct"/>
            <w:gridSpan w:val="6"/>
            <w:tcBorders>
              <w:top w:val="single" w:color="000000" w:sz="4" w:space="0"/>
              <w:left w:val="nil"/>
              <w:bottom w:val="single" w:color="000000" w:sz="4" w:space="0"/>
              <w:right w:val="single" w:color="000000" w:sz="4" w:space="0"/>
            </w:tcBorders>
            <w:shd w:val="clear" w:color="auto" w:fill="auto"/>
            <w:vAlign w:val="center"/>
          </w:tcPr>
          <w:p w14:paraId="1780062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2023年中等职业教育学生资助补助经费（省级）（免学费）用于学院公用经费补贴，保障学院正常教育教学秩序，加强专业建设，提高教学质量。2023年中等职业教育学生资助补助经费（省级）（奖助学金）8.33万元用于资助困难学生，促进教育公平、发放优秀学生奖学金。</w:t>
            </w:r>
          </w:p>
        </w:tc>
        <w:tc>
          <w:tcPr>
            <w:tcW w:w="1954" w:type="pct"/>
            <w:gridSpan w:val="6"/>
            <w:tcBorders>
              <w:top w:val="single" w:color="000000" w:sz="4" w:space="0"/>
              <w:left w:val="nil"/>
              <w:bottom w:val="single" w:color="000000" w:sz="4" w:space="0"/>
              <w:right w:val="single" w:color="000000" w:sz="4" w:space="0"/>
            </w:tcBorders>
            <w:shd w:val="clear" w:color="auto" w:fill="auto"/>
            <w:vAlign w:val="center"/>
          </w:tcPr>
          <w:p w14:paraId="07F5B394">
            <w:pPr>
              <w:widowControl/>
              <w:jc w:val="left"/>
              <w:rPr>
                <w:rFonts w:hint="eastAsia" w:ascii="黑体" w:hAnsi="黑体" w:eastAsia="宋体" w:cs="宋体"/>
                <w:color w:val="000000"/>
                <w:kern w:val="0"/>
                <w:sz w:val="18"/>
                <w:szCs w:val="18"/>
              </w:rPr>
            </w:pPr>
            <w:r>
              <w:rPr>
                <w:rFonts w:ascii="黑体" w:hAnsi="黑体" w:eastAsia="宋体" w:cs="宋体"/>
                <w:color w:val="000000"/>
                <w:kern w:val="0"/>
                <w:sz w:val="18"/>
                <w:szCs w:val="18"/>
              </w:rPr>
              <w:t>本项目预算执行率100%，主要用于学院水电劳务费等费用支出，奖助学金精准发放至受助学生。</w:t>
            </w:r>
          </w:p>
        </w:tc>
      </w:tr>
      <w:tr w14:paraId="48FABDC8">
        <w:tblPrEx>
          <w:tblCellMar>
            <w:top w:w="0" w:type="dxa"/>
            <w:left w:w="108" w:type="dxa"/>
            <w:bottom w:w="0" w:type="dxa"/>
            <w:right w:w="108" w:type="dxa"/>
          </w:tblCellMar>
        </w:tblPrEx>
        <w:trPr>
          <w:trHeight w:val="752" w:hRule="atLeast"/>
        </w:trPr>
        <w:tc>
          <w:tcPr>
            <w:tcW w:w="703" w:type="pct"/>
            <w:vMerge w:val="continue"/>
            <w:tcBorders>
              <w:top w:val="nil"/>
              <w:left w:val="single" w:color="000000" w:sz="4" w:space="0"/>
              <w:bottom w:val="single" w:color="000000" w:sz="4" w:space="0"/>
              <w:right w:val="single" w:color="000000" w:sz="4" w:space="0"/>
            </w:tcBorders>
            <w:vAlign w:val="center"/>
          </w:tcPr>
          <w:p w14:paraId="5179C265">
            <w:pPr>
              <w:widowControl/>
              <w:jc w:val="left"/>
              <w:rPr>
                <w:rFonts w:ascii="宋体" w:hAnsi="宋体" w:eastAsia="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14:paraId="7F00C8B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2.项目实施内容及过程概述</w:t>
            </w:r>
          </w:p>
        </w:tc>
        <w:tc>
          <w:tcPr>
            <w:tcW w:w="3770" w:type="pct"/>
            <w:gridSpan w:val="12"/>
            <w:tcBorders>
              <w:top w:val="single" w:color="000000" w:sz="4" w:space="0"/>
              <w:left w:val="nil"/>
              <w:bottom w:val="single" w:color="000000" w:sz="4" w:space="0"/>
              <w:right w:val="single" w:color="000000" w:sz="4" w:space="0"/>
            </w:tcBorders>
            <w:shd w:val="clear" w:color="auto" w:fill="auto"/>
            <w:vAlign w:val="center"/>
          </w:tcPr>
          <w:p w14:paraId="4C88A4D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本项目资金预算执行率100%，主要用于学院水电劳务费等费用支出，奖助学金精准发放至受助学生，保障了学院教学管理工作正常运转，促进教育公平。</w:t>
            </w:r>
          </w:p>
        </w:tc>
      </w:tr>
      <w:tr w14:paraId="23823E7E">
        <w:tblPrEx>
          <w:tblCellMar>
            <w:top w:w="0" w:type="dxa"/>
            <w:left w:w="108" w:type="dxa"/>
            <w:bottom w:w="0" w:type="dxa"/>
            <w:right w:w="108" w:type="dxa"/>
          </w:tblCellMar>
        </w:tblPrEx>
        <w:trPr>
          <w:trHeight w:val="360" w:hRule="atLeast"/>
        </w:trPr>
        <w:tc>
          <w:tcPr>
            <w:tcW w:w="703" w:type="pct"/>
            <w:vMerge w:val="restart"/>
            <w:tcBorders>
              <w:top w:val="nil"/>
              <w:left w:val="single" w:color="000000" w:sz="4" w:space="0"/>
              <w:bottom w:val="single" w:color="000000" w:sz="4" w:space="0"/>
              <w:right w:val="single" w:color="000000" w:sz="4" w:space="0"/>
            </w:tcBorders>
            <w:shd w:val="clear" w:color="auto" w:fill="auto"/>
            <w:vAlign w:val="center"/>
          </w:tcPr>
          <w:p w14:paraId="385AF33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预算执行情况（10分）</w:t>
            </w:r>
          </w:p>
        </w:tc>
        <w:tc>
          <w:tcPr>
            <w:tcW w:w="527" w:type="pct"/>
            <w:tcBorders>
              <w:top w:val="nil"/>
              <w:left w:val="nil"/>
              <w:bottom w:val="single" w:color="000000" w:sz="4" w:space="0"/>
              <w:right w:val="single" w:color="000000" w:sz="4" w:space="0"/>
            </w:tcBorders>
            <w:shd w:val="clear" w:color="auto" w:fill="auto"/>
            <w:vAlign w:val="center"/>
          </w:tcPr>
          <w:p w14:paraId="0AF70C3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年度预算数（万元）</w:t>
            </w:r>
          </w:p>
        </w:tc>
        <w:tc>
          <w:tcPr>
            <w:tcW w:w="487" w:type="pct"/>
            <w:tcBorders>
              <w:top w:val="nil"/>
              <w:left w:val="nil"/>
              <w:bottom w:val="single" w:color="000000" w:sz="4" w:space="0"/>
              <w:right w:val="single" w:color="000000" w:sz="4" w:space="0"/>
            </w:tcBorders>
            <w:shd w:val="clear" w:color="auto" w:fill="auto"/>
            <w:vAlign w:val="center"/>
          </w:tcPr>
          <w:p w14:paraId="128E62C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年初预算</w:t>
            </w:r>
          </w:p>
        </w:tc>
        <w:tc>
          <w:tcPr>
            <w:tcW w:w="534" w:type="pct"/>
            <w:tcBorders>
              <w:top w:val="nil"/>
              <w:left w:val="nil"/>
              <w:bottom w:val="single" w:color="000000" w:sz="4" w:space="0"/>
              <w:right w:val="single" w:color="000000" w:sz="4" w:space="0"/>
            </w:tcBorders>
            <w:shd w:val="clear" w:color="auto" w:fill="auto"/>
            <w:vAlign w:val="center"/>
          </w:tcPr>
          <w:p w14:paraId="7067989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调整后预算数</w:t>
            </w:r>
          </w:p>
        </w:tc>
        <w:tc>
          <w:tcPr>
            <w:tcW w:w="795" w:type="pct"/>
            <w:gridSpan w:val="4"/>
            <w:tcBorders>
              <w:top w:val="single" w:color="000000" w:sz="4" w:space="0"/>
              <w:left w:val="nil"/>
              <w:bottom w:val="single" w:color="000000" w:sz="4" w:space="0"/>
              <w:right w:val="single" w:color="000000" w:sz="4" w:space="0"/>
            </w:tcBorders>
            <w:shd w:val="clear" w:color="auto" w:fill="auto"/>
            <w:vAlign w:val="center"/>
          </w:tcPr>
          <w:p w14:paraId="57DE560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预算执行数</w:t>
            </w:r>
          </w:p>
        </w:tc>
        <w:tc>
          <w:tcPr>
            <w:tcW w:w="412" w:type="pct"/>
            <w:gridSpan w:val="2"/>
            <w:tcBorders>
              <w:top w:val="nil"/>
              <w:left w:val="nil"/>
              <w:bottom w:val="single" w:color="000000" w:sz="4" w:space="0"/>
              <w:right w:val="single" w:color="000000" w:sz="4" w:space="0"/>
            </w:tcBorders>
            <w:shd w:val="clear" w:color="auto" w:fill="auto"/>
            <w:vAlign w:val="center"/>
          </w:tcPr>
          <w:p w14:paraId="739B313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w:t>
            </w:r>
          </w:p>
        </w:tc>
        <w:tc>
          <w:tcPr>
            <w:tcW w:w="312" w:type="pct"/>
            <w:gridSpan w:val="2"/>
            <w:tcBorders>
              <w:top w:val="nil"/>
              <w:left w:val="nil"/>
              <w:bottom w:val="single" w:color="000000" w:sz="4" w:space="0"/>
              <w:right w:val="single" w:color="000000" w:sz="4" w:space="0"/>
            </w:tcBorders>
            <w:shd w:val="clear" w:color="auto" w:fill="auto"/>
            <w:vAlign w:val="center"/>
          </w:tcPr>
          <w:p w14:paraId="08A745B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255" w:type="pct"/>
            <w:tcBorders>
              <w:top w:val="nil"/>
              <w:left w:val="nil"/>
              <w:bottom w:val="single" w:color="000000" w:sz="4" w:space="0"/>
              <w:right w:val="single" w:color="000000" w:sz="4" w:space="0"/>
            </w:tcBorders>
            <w:shd w:val="clear" w:color="auto" w:fill="auto"/>
            <w:vAlign w:val="center"/>
          </w:tcPr>
          <w:p w14:paraId="3C1631F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975" w:type="pct"/>
            <w:tcBorders>
              <w:top w:val="nil"/>
              <w:left w:val="nil"/>
              <w:bottom w:val="single" w:color="000000" w:sz="4" w:space="0"/>
              <w:right w:val="single" w:color="000000" w:sz="4" w:space="0"/>
            </w:tcBorders>
            <w:shd w:val="clear" w:color="auto" w:fill="auto"/>
            <w:vAlign w:val="center"/>
          </w:tcPr>
          <w:p w14:paraId="19C1DDD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原因</w:t>
            </w:r>
          </w:p>
        </w:tc>
      </w:tr>
      <w:tr w14:paraId="7605364E">
        <w:tblPrEx>
          <w:tblCellMar>
            <w:top w:w="0" w:type="dxa"/>
            <w:left w:w="108" w:type="dxa"/>
            <w:bottom w:w="0" w:type="dxa"/>
            <w:right w:w="108" w:type="dxa"/>
          </w:tblCellMar>
        </w:tblPrEx>
        <w:trPr>
          <w:trHeight w:val="345" w:hRule="atLeast"/>
        </w:trPr>
        <w:tc>
          <w:tcPr>
            <w:tcW w:w="703" w:type="pct"/>
            <w:vMerge w:val="continue"/>
            <w:tcBorders>
              <w:top w:val="nil"/>
              <w:left w:val="single" w:color="000000" w:sz="4" w:space="0"/>
              <w:bottom w:val="single" w:color="000000" w:sz="4" w:space="0"/>
              <w:right w:val="single" w:color="000000" w:sz="4" w:space="0"/>
            </w:tcBorders>
            <w:vAlign w:val="center"/>
          </w:tcPr>
          <w:p w14:paraId="5F521BA2">
            <w:pPr>
              <w:widowControl/>
              <w:jc w:val="left"/>
              <w:rPr>
                <w:rFonts w:ascii="宋体" w:hAnsi="宋体" w:eastAsia="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14:paraId="0380EF0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总额</w:t>
            </w:r>
          </w:p>
        </w:tc>
        <w:tc>
          <w:tcPr>
            <w:tcW w:w="487" w:type="pct"/>
            <w:tcBorders>
              <w:top w:val="nil"/>
              <w:left w:val="nil"/>
              <w:bottom w:val="single" w:color="000000" w:sz="4" w:space="0"/>
              <w:right w:val="single" w:color="000000" w:sz="4" w:space="0"/>
            </w:tcBorders>
            <w:shd w:val="clear" w:color="auto" w:fill="auto"/>
            <w:vAlign w:val="center"/>
          </w:tcPr>
          <w:p w14:paraId="1F5501C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34" w:type="pct"/>
            <w:tcBorders>
              <w:top w:val="nil"/>
              <w:left w:val="nil"/>
              <w:bottom w:val="single" w:color="000000" w:sz="4" w:space="0"/>
              <w:right w:val="single" w:color="000000" w:sz="4" w:space="0"/>
            </w:tcBorders>
            <w:shd w:val="clear" w:color="auto" w:fill="auto"/>
            <w:vAlign w:val="center"/>
          </w:tcPr>
          <w:p w14:paraId="2360871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65.91</w:t>
            </w:r>
          </w:p>
        </w:tc>
        <w:tc>
          <w:tcPr>
            <w:tcW w:w="795" w:type="pct"/>
            <w:gridSpan w:val="4"/>
            <w:tcBorders>
              <w:top w:val="single" w:color="000000" w:sz="4" w:space="0"/>
              <w:left w:val="nil"/>
              <w:bottom w:val="single" w:color="000000" w:sz="4" w:space="0"/>
              <w:right w:val="single" w:color="000000" w:sz="4" w:space="0"/>
            </w:tcBorders>
            <w:shd w:val="clear" w:color="auto" w:fill="auto"/>
            <w:vAlign w:val="center"/>
          </w:tcPr>
          <w:p w14:paraId="4CC665E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65.91</w:t>
            </w:r>
          </w:p>
        </w:tc>
        <w:tc>
          <w:tcPr>
            <w:tcW w:w="412" w:type="pct"/>
            <w:gridSpan w:val="2"/>
            <w:tcBorders>
              <w:top w:val="nil"/>
              <w:left w:val="nil"/>
              <w:bottom w:val="single" w:color="000000" w:sz="4" w:space="0"/>
              <w:right w:val="single" w:color="000000" w:sz="4" w:space="0"/>
            </w:tcBorders>
            <w:shd w:val="clear" w:color="auto" w:fill="auto"/>
            <w:vAlign w:val="center"/>
          </w:tcPr>
          <w:p w14:paraId="7C62113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312" w:type="pct"/>
            <w:gridSpan w:val="2"/>
            <w:tcBorders>
              <w:top w:val="nil"/>
              <w:left w:val="nil"/>
              <w:bottom w:val="single" w:color="000000" w:sz="4" w:space="0"/>
              <w:right w:val="single" w:color="000000" w:sz="4" w:space="0"/>
            </w:tcBorders>
            <w:shd w:val="clear" w:color="auto" w:fill="auto"/>
            <w:vAlign w:val="center"/>
          </w:tcPr>
          <w:p w14:paraId="435B679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255" w:type="pct"/>
            <w:tcBorders>
              <w:top w:val="nil"/>
              <w:left w:val="nil"/>
              <w:bottom w:val="single" w:color="000000" w:sz="4" w:space="0"/>
              <w:right w:val="single" w:color="000000" w:sz="4" w:space="0"/>
            </w:tcBorders>
            <w:shd w:val="clear" w:color="auto" w:fill="auto"/>
            <w:vAlign w:val="center"/>
          </w:tcPr>
          <w:p w14:paraId="484CB15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　</w:t>
            </w:r>
          </w:p>
        </w:tc>
        <w:tc>
          <w:tcPr>
            <w:tcW w:w="975" w:type="pct"/>
            <w:vMerge w:val="restart"/>
            <w:tcBorders>
              <w:top w:val="nil"/>
              <w:left w:val="single" w:color="000000" w:sz="4" w:space="0"/>
              <w:bottom w:val="single" w:color="000000" w:sz="4" w:space="0"/>
              <w:right w:val="single" w:color="000000" w:sz="4" w:space="0"/>
            </w:tcBorders>
            <w:shd w:val="clear" w:color="auto" w:fill="auto"/>
            <w:vAlign w:val="center"/>
          </w:tcPr>
          <w:p w14:paraId="57F1CBA5">
            <w:pPr>
              <w:widowControl/>
              <w:jc w:val="left"/>
              <w:rPr>
                <w:rFonts w:hint="eastAsia" w:ascii="黑体" w:hAnsi="黑体" w:eastAsia="宋体" w:cs="宋体"/>
                <w:i/>
                <w:iCs/>
                <w:color w:val="000000"/>
                <w:kern w:val="0"/>
                <w:sz w:val="18"/>
                <w:szCs w:val="18"/>
              </w:rPr>
            </w:pPr>
            <w:r>
              <w:rPr>
                <w:rFonts w:ascii="黑体" w:hAnsi="黑体" w:eastAsia="宋体" w:cs="宋体"/>
                <w:i/>
                <w:iCs/>
                <w:color w:val="000000"/>
                <w:kern w:val="0"/>
                <w:sz w:val="18"/>
                <w:szCs w:val="18"/>
              </w:rPr>
              <w:t>　</w:t>
            </w:r>
          </w:p>
        </w:tc>
      </w:tr>
      <w:tr w14:paraId="041E8F7C">
        <w:tblPrEx>
          <w:tblCellMar>
            <w:top w:w="0" w:type="dxa"/>
            <w:left w:w="108" w:type="dxa"/>
            <w:bottom w:w="0" w:type="dxa"/>
            <w:right w:w="108" w:type="dxa"/>
          </w:tblCellMar>
        </w:tblPrEx>
        <w:trPr>
          <w:trHeight w:val="390" w:hRule="atLeast"/>
        </w:trPr>
        <w:tc>
          <w:tcPr>
            <w:tcW w:w="703" w:type="pct"/>
            <w:vMerge w:val="continue"/>
            <w:tcBorders>
              <w:top w:val="nil"/>
              <w:left w:val="single" w:color="000000" w:sz="4" w:space="0"/>
              <w:bottom w:val="single" w:color="000000" w:sz="4" w:space="0"/>
              <w:right w:val="single" w:color="000000" w:sz="4" w:space="0"/>
            </w:tcBorders>
            <w:vAlign w:val="center"/>
          </w:tcPr>
          <w:p w14:paraId="2993C000">
            <w:pPr>
              <w:widowControl/>
              <w:jc w:val="left"/>
              <w:rPr>
                <w:rFonts w:ascii="宋体" w:hAnsi="宋体" w:eastAsia="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14:paraId="6E566DB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其中：财政资金</w:t>
            </w:r>
          </w:p>
        </w:tc>
        <w:tc>
          <w:tcPr>
            <w:tcW w:w="487" w:type="pct"/>
            <w:tcBorders>
              <w:top w:val="nil"/>
              <w:left w:val="nil"/>
              <w:bottom w:val="single" w:color="000000" w:sz="4" w:space="0"/>
              <w:right w:val="single" w:color="000000" w:sz="4" w:space="0"/>
            </w:tcBorders>
            <w:shd w:val="clear" w:color="auto" w:fill="auto"/>
            <w:vAlign w:val="center"/>
          </w:tcPr>
          <w:p w14:paraId="63AC5FC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34" w:type="pct"/>
            <w:tcBorders>
              <w:top w:val="nil"/>
              <w:left w:val="nil"/>
              <w:bottom w:val="single" w:color="000000" w:sz="4" w:space="0"/>
              <w:right w:val="single" w:color="000000" w:sz="4" w:space="0"/>
            </w:tcBorders>
            <w:shd w:val="clear" w:color="auto" w:fill="auto"/>
            <w:vAlign w:val="center"/>
          </w:tcPr>
          <w:p w14:paraId="0F01CA5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65.91</w:t>
            </w:r>
          </w:p>
        </w:tc>
        <w:tc>
          <w:tcPr>
            <w:tcW w:w="795" w:type="pct"/>
            <w:gridSpan w:val="4"/>
            <w:tcBorders>
              <w:top w:val="single" w:color="000000" w:sz="4" w:space="0"/>
              <w:left w:val="nil"/>
              <w:bottom w:val="single" w:color="000000" w:sz="4" w:space="0"/>
              <w:right w:val="single" w:color="000000" w:sz="4" w:space="0"/>
            </w:tcBorders>
            <w:shd w:val="clear" w:color="auto" w:fill="auto"/>
            <w:vAlign w:val="center"/>
          </w:tcPr>
          <w:p w14:paraId="5F71486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65.91</w:t>
            </w:r>
          </w:p>
        </w:tc>
        <w:tc>
          <w:tcPr>
            <w:tcW w:w="412" w:type="pct"/>
            <w:gridSpan w:val="2"/>
            <w:tcBorders>
              <w:top w:val="nil"/>
              <w:left w:val="nil"/>
              <w:bottom w:val="single" w:color="000000" w:sz="4" w:space="0"/>
              <w:right w:val="single" w:color="000000" w:sz="4" w:space="0"/>
            </w:tcBorders>
            <w:shd w:val="clear" w:color="auto" w:fill="auto"/>
            <w:vAlign w:val="center"/>
          </w:tcPr>
          <w:p w14:paraId="7D4ECA7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312" w:type="pct"/>
            <w:gridSpan w:val="2"/>
            <w:tcBorders>
              <w:top w:val="nil"/>
              <w:left w:val="nil"/>
              <w:bottom w:val="single" w:color="000000" w:sz="4" w:space="0"/>
              <w:right w:val="single" w:color="000000" w:sz="4" w:space="0"/>
            </w:tcBorders>
            <w:shd w:val="clear" w:color="auto" w:fill="auto"/>
            <w:vAlign w:val="center"/>
          </w:tcPr>
          <w:p w14:paraId="1890E43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55" w:type="pct"/>
            <w:tcBorders>
              <w:top w:val="nil"/>
              <w:left w:val="nil"/>
              <w:bottom w:val="single" w:color="000000" w:sz="4" w:space="0"/>
              <w:right w:val="single" w:color="000000" w:sz="4" w:space="0"/>
            </w:tcBorders>
            <w:shd w:val="clear" w:color="auto" w:fill="auto"/>
            <w:vAlign w:val="center"/>
          </w:tcPr>
          <w:p w14:paraId="32BEB3F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975" w:type="pct"/>
            <w:vMerge w:val="continue"/>
            <w:tcBorders>
              <w:top w:val="nil"/>
              <w:left w:val="single" w:color="000000" w:sz="4" w:space="0"/>
              <w:bottom w:val="single" w:color="000000" w:sz="4" w:space="0"/>
              <w:right w:val="single" w:color="000000" w:sz="4" w:space="0"/>
            </w:tcBorders>
            <w:vAlign w:val="center"/>
          </w:tcPr>
          <w:p w14:paraId="72832BE6">
            <w:pPr>
              <w:widowControl/>
              <w:jc w:val="left"/>
              <w:rPr>
                <w:rFonts w:hint="eastAsia" w:ascii="黑体" w:hAnsi="黑体" w:eastAsia="宋体" w:cs="宋体"/>
                <w:i/>
                <w:iCs/>
                <w:color w:val="000000"/>
                <w:kern w:val="0"/>
                <w:sz w:val="18"/>
                <w:szCs w:val="18"/>
              </w:rPr>
            </w:pPr>
          </w:p>
        </w:tc>
      </w:tr>
      <w:tr w14:paraId="38272D18">
        <w:tblPrEx>
          <w:tblCellMar>
            <w:top w:w="0" w:type="dxa"/>
            <w:left w:w="108" w:type="dxa"/>
            <w:bottom w:w="0" w:type="dxa"/>
            <w:right w:w="108" w:type="dxa"/>
          </w:tblCellMar>
        </w:tblPrEx>
        <w:trPr>
          <w:trHeight w:val="409" w:hRule="atLeast"/>
        </w:trPr>
        <w:tc>
          <w:tcPr>
            <w:tcW w:w="703" w:type="pct"/>
            <w:vMerge w:val="continue"/>
            <w:tcBorders>
              <w:top w:val="nil"/>
              <w:left w:val="single" w:color="000000" w:sz="4" w:space="0"/>
              <w:bottom w:val="single" w:color="000000" w:sz="4" w:space="0"/>
              <w:right w:val="single" w:color="000000" w:sz="4" w:space="0"/>
            </w:tcBorders>
            <w:vAlign w:val="center"/>
          </w:tcPr>
          <w:p w14:paraId="6D660BCD">
            <w:pPr>
              <w:widowControl/>
              <w:jc w:val="left"/>
              <w:rPr>
                <w:rFonts w:ascii="宋体" w:hAnsi="宋体" w:eastAsia="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14:paraId="6B98F64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财政专户管理资金</w:t>
            </w:r>
          </w:p>
        </w:tc>
        <w:tc>
          <w:tcPr>
            <w:tcW w:w="487" w:type="pct"/>
            <w:tcBorders>
              <w:top w:val="nil"/>
              <w:left w:val="nil"/>
              <w:bottom w:val="single" w:color="000000" w:sz="4" w:space="0"/>
              <w:right w:val="single" w:color="000000" w:sz="4" w:space="0"/>
            </w:tcBorders>
            <w:shd w:val="clear" w:color="auto" w:fill="auto"/>
            <w:vAlign w:val="center"/>
          </w:tcPr>
          <w:p w14:paraId="50F1AD6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34" w:type="pct"/>
            <w:tcBorders>
              <w:top w:val="nil"/>
              <w:left w:val="nil"/>
              <w:bottom w:val="single" w:color="000000" w:sz="4" w:space="0"/>
              <w:right w:val="single" w:color="000000" w:sz="4" w:space="0"/>
            </w:tcBorders>
            <w:shd w:val="clear" w:color="auto" w:fill="auto"/>
            <w:vAlign w:val="center"/>
          </w:tcPr>
          <w:p w14:paraId="50646FA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95" w:type="pct"/>
            <w:gridSpan w:val="4"/>
            <w:tcBorders>
              <w:top w:val="single" w:color="000000" w:sz="4" w:space="0"/>
              <w:left w:val="nil"/>
              <w:bottom w:val="single" w:color="000000" w:sz="4" w:space="0"/>
              <w:right w:val="single" w:color="000000" w:sz="4" w:space="0"/>
            </w:tcBorders>
            <w:shd w:val="clear" w:color="auto" w:fill="auto"/>
            <w:vAlign w:val="center"/>
          </w:tcPr>
          <w:p w14:paraId="1B7D5C1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412" w:type="pct"/>
            <w:gridSpan w:val="2"/>
            <w:tcBorders>
              <w:top w:val="nil"/>
              <w:left w:val="nil"/>
              <w:bottom w:val="single" w:color="000000" w:sz="4" w:space="0"/>
              <w:right w:val="single" w:color="000000" w:sz="4" w:space="0"/>
            </w:tcBorders>
            <w:shd w:val="clear" w:color="auto" w:fill="auto"/>
            <w:vAlign w:val="center"/>
          </w:tcPr>
          <w:p w14:paraId="4463F95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312" w:type="pct"/>
            <w:gridSpan w:val="2"/>
            <w:tcBorders>
              <w:top w:val="nil"/>
              <w:left w:val="nil"/>
              <w:bottom w:val="single" w:color="000000" w:sz="4" w:space="0"/>
              <w:right w:val="single" w:color="000000" w:sz="4" w:space="0"/>
            </w:tcBorders>
            <w:shd w:val="clear" w:color="auto" w:fill="auto"/>
            <w:vAlign w:val="center"/>
          </w:tcPr>
          <w:p w14:paraId="13FF6A2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55" w:type="pct"/>
            <w:tcBorders>
              <w:top w:val="nil"/>
              <w:left w:val="nil"/>
              <w:bottom w:val="single" w:color="000000" w:sz="4" w:space="0"/>
              <w:right w:val="single" w:color="000000" w:sz="4" w:space="0"/>
            </w:tcBorders>
            <w:shd w:val="clear" w:color="auto" w:fill="auto"/>
            <w:vAlign w:val="center"/>
          </w:tcPr>
          <w:p w14:paraId="06C2D29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975" w:type="pct"/>
            <w:vMerge w:val="continue"/>
            <w:tcBorders>
              <w:top w:val="nil"/>
              <w:left w:val="single" w:color="000000" w:sz="4" w:space="0"/>
              <w:bottom w:val="single" w:color="000000" w:sz="4" w:space="0"/>
              <w:right w:val="single" w:color="000000" w:sz="4" w:space="0"/>
            </w:tcBorders>
            <w:vAlign w:val="center"/>
          </w:tcPr>
          <w:p w14:paraId="53ADC075">
            <w:pPr>
              <w:widowControl/>
              <w:jc w:val="left"/>
              <w:rPr>
                <w:rFonts w:hint="eastAsia" w:ascii="黑体" w:hAnsi="黑体" w:eastAsia="宋体" w:cs="宋体"/>
                <w:i/>
                <w:iCs/>
                <w:color w:val="000000"/>
                <w:kern w:val="0"/>
                <w:sz w:val="18"/>
                <w:szCs w:val="18"/>
              </w:rPr>
            </w:pPr>
          </w:p>
        </w:tc>
      </w:tr>
      <w:tr w14:paraId="119E250E">
        <w:tblPrEx>
          <w:tblCellMar>
            <w:top w:w="0" w:type="dxa"/>
            <w:left w:w="108" w:type="dxa"/>
            <w:bottom w:w="0" w:type="dxa"/>
            <w:right w:w="108" w:type="dxa"/>
          </w:tblCellMar>
        </w:tblPrEx>
        <w:trPr>
          <w:trHeight w:val="360" w:hRule="atLeast"/>
        </w:trPr>
        <w:tc>
          <w:tcPr>
            <w:tcW w:w="703" w:type="pct"/>
            <w:vMerge w:val="continue"/>
            <w:tcBorders>
              <w:top w:val="nil"/>
              <w:left w:val="single" w:color="000000" w:sz="4" w:space="0"/>
              <w:bottom w:val="single" w:color="000000" w:sz="4" w:space="0"/>
              <w:right w:val="single" w:color="000000" w:sz="4" w:space="0"/>
            </w:tcBorders>
            <w:vAlign w:val="center"/>
          </w:tcPr>
          <w:p w14:paraId="42A91533">
            <w:pPr>
              <w:widowControl/>
              <w:jc w:val="left"/>
              <w:rPr>
                <w:rFonts w:ascii="宋体" w:hAnsi="宋体" w:eastAsia="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14:paraId="29C8520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单位资金</w:t>
            </w:r>
          </w:p>
        </w:tc>
        <w:tc>
          <w:tcPr>
            <w:tcW w:w="487" w:type="pct"/>
            <w:tcBorders>
              <w:top w:val="nil"/>
              <w:left w:val="nil"/>
              <w:bottom w:val="single" w:color="000000" w:sz="4" w:space="0"/>
              <w:right w:val="single" w:color="000000" w:sz="4" w:space="0"/>
            </w:tcBorders>
            <w:shd w:val="clear" w:color="auto" w:fill="auto"/>
            <w:vAlign w:val="center"/>
          </w:tcPr>
          <w:p w14:paraId="36E1611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34" w:type="pct"/>
            <w:tcBorders>
              <w:top w:val="nil"/>
              <w:left w:val="nil"/>
              <w:bottom w:val="single" w:color="000000" w:sz="4" w:space="0"/>
              <w:right w:val="single" w:color="000000" w:sz="4" w:space="0"/>
            </w:tcBorders>
            <w:shd w:val="clear" w:color="auto" w:fill="auto"/>
            <w:vAlign w:val="center"/>
          </w:tcPr>
          <w:p w14:paraId="29AD9EA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95" w:type="pct"/>
            <w:gridSpan w:val="4"/>
            <w:tcBorders>
              <w:top w:val="single" w:color="000000" w:sz="4" w:space="0"/>
              <w:left w:val="nil"/>
              <w:bottom w:val="single" w:color="000000" w:sz="4" w:space="0"/>
              <w:right w:val="single" w:color="000000" w:sz="4" w:space="0"/>
            </w:tcBorders>
            <w:shd w:val="clear" w:color="auto" w:fill="auto"/>
            <w:vAlign w:val="center"/>
          </w:tcPr>
          <w:p w14:paraId="055379A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412" w:type="pct"/>
            <w:gridSpan w:val="2"/>
            <w:tcBorders>
              <w:top w:val="nil"/>
              <w:left w:val="nil"/>
              <w:bottom w:val="single" w:color="000000" w:sz="4" w:space="0"/>
              <w:right w:val="single" w:color="000000" w:sz="4" w:space="0"/>
            </w:tcBorders>
            <w:shd w:val="clear" w:color="auto" w:fill="auto"/>
            <w:vAlign w:val="center"/>
          </w:tcPr>
          <w:p w14:paraId="76BA20F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312" w:type="pct"/>
            <w:gridSpan w:val="2"/>
            <w:tcBorders>
              <w:top w:val="nil"/>
              <w:left w:val="nil"/>
              <w:bottom w:val="single" w:color="000000" w:sz="4" w:space="0"/>
              <w:right w:val="single" w:color="000000" w:sz="4" w:space="0"/>
            </w:tcBorders>
            <w:shd w:val="clear" w:color="auto" w:fill="auto"/>
            <w:vAlign w:val="center"/>
          </w:tcPr>
          <w:p w14:paraId="177E718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55" w:type="pct"/>
            <w:tcBorders>
              <w:top w:val="nil"/>
              <w:left w:val="nil"/>
              <w:bottom w:val="single" w:color="000000" w:sz="4" w:space="0"/>
              <w:right w:val="single" w:color="000000" w:sz="4" w:space="0"/>
            </w:tcBorders>
            <w:shd w:val="clear" w:color="auto" w:fill="auto"/>
            <w:vAlign w:val="center"/>
          </w:tcPr>
          <w:p w14:paraId="0D85B0D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975" w:type="pct"/>
            <w:vMerge w:val="continue"/>
            <w:tcBorders>
              <w:top w:val="nil"/>
              <w:left w:val="single" w:color="000000" w:sz="4" w:space="0"/>
              <w:bottom w:val="single" w:color="000000" w:sz="4" w:space="0"/>
              <w:right w:val="single" w:color="000000" w:sz="4" w:space="0"/>
            </w:tcBorders>
            <w:vAlign w:val="center"/>
          </w:tcPr>
          <w:p w14:paraId="782D6998">
            <w:pPr>
              <w:widowControl/>
              <w:jc w:val="left"/>
              <w:rPr>
                <w:rFonts w:hint="eastAsia" w:ascii="黑体" w:hAnsi="黑体" w:eastAsia="宋体" w:cs="宋体"/>
                <w:i/>
                <w:iCs/>
                <w:color w:val="000000"/>
                <w:kern w:val="0"/>
                <w:sz w:val="18"/>
                <w:szCs w:val="18"/>
              </w:rPr>
            </w:pPr>
          </w:p>
        </w:tc>
      </w:tr>
      <w:tr w14:paraId="0BF949FD">
        <w:tblPrEx>
          <w:tblCellMar>
            <w:top w:w="0" w:type="dxa"/>
            <w:left w:w="108" w:type="dxa"/>
            <w:bottom w:w="0" w:type="dxa"/>
            <w:right w:w="108" w:type="dxa"/>
          </w:tblCellMar>
        </w:tblPrEx>
        <w:trPr>
          <w:trHeight w:val="338" w:hRule="atLeast"/>
        </w:trPr>
        <w:tc>
          <w:tcPr>
            <w:tcW w:w="703" w:type="pct"/>
            <w:vMerge w:val="continue"/>
            <w:tcBorders>
              <w:top w:val="nil"/>
              <w:left w:val="single" w:color="000000" w:sz="4" w:space="0"/>
              <w:bottom w:val="single" w:color="000000" w:sz="4" w:space="0"/>
              <w:right w:val="single" w:color="000000" w:sz="4" w:space="0"/>
            </w:tcBorders>
            <w:vAlign w:val="center"/>
          </w:tcPr>
          <w:p w14:paraId="3A5A10FC">
            <w:pPr>
              <w:widowControl/>
              <w:jc w:val="left"/>
              <w:rPr>
                <w:rFonts w:ascii="宋体" w:hAnsi="宋体" w:eastAsia="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14:paraId="313F873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其他资金</w:t>
            </w:r>
          </w:p>
        </w:tc>
        <w:tc>
          <w:tcPr>
            <w:tcW w:w="487" w:type="pct"/>
            <w:tcBorders>
              <w:top w:val="nil"/>
              <w:left w:val="nil"/>
              <w:bottom w:val="single" w:color="000000" w:sz="4" w:space="0"/>
              <w:right w:val="single" w:color="000000" w:sz="4" w:space="0"/>
            </w:tcBorders>
            <w:shd w:val="clear" w:color="auto" w:fill="auto"/>
            <w:vAlign w:val="center"/>
          </w:tcPr>
          <w:p w14:paraId="79F735E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34" w:type="pct"/>
            <w:tcBorders>
              <w:top w:val="nil"/>
              <w:left w:val="nil"/>
              <w:bottom w:val="single" w:color="000000" w:sz="4" w:space="0"/>
              <w:right w:val="single" w:color="000000" w:sz="4" w:space="0"/>
            </w:tcBorders>
            <w:shd w:val="clear" w:color="auto" w:fill="auto"/>
            <w:vAlign w:val="center"/>
          </w:tcPr>
          <w:p w14:paraId="2A0B705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95" w:type="pct"/>
            <w:gridSpan w:val="4"/>
            <w:tcBorders>
              <w:top w:val="single" w:color="000000" w:sz="4" w:space="0"/>
              <w:left w:val="nil"/>
              <w:bottom w:val="single" w:color="000000" w:sz="4" w:space="0"/>
              <w:right w:val="single" w:color="000000" w:sz="4" w:space="0"/>
            </w:tcBorders>
            <w:shd w:val="clear" w:color="auto" w:fill="auto"/>
            <w:vAlign w:val="center"/>
          </w:tcPr>
          <w:p w14:paraId="4C3476A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12" w:type="pct"/>
            <w:gridSpan w:val="2"/>
            <w:tcBorders>
              <w:top w:val="nil"/>
              <w:left w:val="nil"/>
              <w:bottom w:val="single" w:color="000000" w:sz="4" w:space="0"/>
              <w:right w:val="single" w:color="000000" w:sz="4" w:space="0"/>
            </w:tcBorders>
            <w:shd w:val="clear" w:color="auto" w:fill="auto"/>
            <w:vAlign w:val="center"/>
          </w:tcPr>
          <w:p w14:paraId="214B85A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12" w:type="pct"/>
            <w:gridSpan w:val="2"/>
            <w:tcBorders>
              <w:top w:val="nil"/>
              <w:left w:val="nil"/>
              <w:bottom w:val="single" w:color="000000" w:sz="4" w:space="0"/>
              <w:right w:val="single" w:color="000000" w:sz="4" w:space="0"/>
            </w:tcBorders>
            <w:shd w:val="clear" w:color="auto" w:fill="auto"/>
            <w:vAlign w:val="center"/>
          </w:tcPr>
          <w:p w14:paraId="636D063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55" w:type="pct"/>
            <w:tcBorders>
              <w:top w:val="nil"/>
              <w:left w:val="nil"/>
              <w:bottom w:val="single" w:color="000000" w:sz="4" w:space="0"/>
              <w:right w:val="single" w:color="000000" w:sz="4" w:space="0"/>
            </w:tcBorders>
            <w:shd w:val="clear" w:color="auto" w:fill="auto"/>
            <w:vAlign w:val="center"/>
          </w:tcPr>
          <w:p w14:paraId="72DBBD1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975" w:type="pct"/>
            <w:vMerge w:val="continue"/>
            <w:tcBorders>
              <w:top w:val="nil"/>
              <w:left w:val="single" w:color="000000" w:sz="4" w:space="0"/>
              <w:bottom w:val="single" w:color="000000" w:sz="4" w:space="0"/>
              <w:right w:val="single" w:color="000000" w:sz="4" w:space="0"/>
            </w:tcBorders>
            <w:vAlign w:val="center"/>
          </w:tcPr>
          <w:p w14:paraId="034AEF68">
            <w:pPr>
              <w:widowControl/>
              <w:jc w:val="left"/>
              <w:rPr>
                <w:rFonts w:hint="eastAsia" w:ascii="黑体" w:hAnsi="黑体" w:eastAsia="宋体" w:cs="宋体"/>
                <w:i/>
                <w:iCs/>
                <w:color w:val="000000"/>
                <w:kern w:val="0"/>
                <w:sz w:val="18"/>
                <w:szCs w:val="18"/>
              </w:rPr>
            </w:pPr>
          </w:p>
        </w:tc>
      </w:tr>
      <w:tr w14:paraId="1B9E6680">
        <w:tblPrEx>
          <w:tblCellMar>
            <w:top w:w="0" w:type="dxa"/>
            <w:left w:w="108" w:type="dxa"/>
            <w:bottom w:w="0" w:type="dxa"/>
            <w:right w:w="108" w:type="dxa"/>
          </w:tblCellMar>
        </w:tblPrEx>
        <w:trPr>
          <w:trHeight w:val="718" w:hRule="atLeast"/>
        </w:trPr>
        <w:tc>
          <w:tcPr>
            <w:tcW w:w="703" w:type="pct"/>
            <w:vMerge w:val="restart"/>
            <w:tcBorders>
              <w:top w:val="nil"/>
              <w:left w:val="single" w:color="000000" w:sz="4" w:space="0"/>
              <w:bottom w:val="single" w:color="000000" w:sz="4" w:space="0"/>
              <w:right w:val="single" w:color="000000" w:sz="4" w:space="0"/>
            </w:tcBorders>
            <w:shd w:val="clear" w:color="auto" w:fill="auto"/>
            <w:vAlign w:val="center"/>
          </w:tcPr>
          <w:p w14:paraId="642485D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绩效指标（90分）</w:t>
            </w:r>
          </w:p>
        </w:tc>
        <w:tc>
          <w:tcPr>
            <w:tcW w:w="527" w:type="pct"/>
            <w:tcBorders>
              <w:top w:val="nil"/>
              <w:left w:val="nil"/>
              <w:bottom w:val="single" w:color="000000" w:sz="4" w:space="0"/>
              <w:right w:val="single" w:color="000000" w:sz="4" w:space="0"/>
            </w:tcBorders>
            <w:shd w:val="clear" w:color="auto" w:fill="auto"/>
            <w:vAlign w:val="center"/>
          </w:tcPr>
          <w:p w14:paraId="57E6040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一级指标</w:t>
            </w:r>
          </w:p>
        </w:tc>
        <w:tc>
          <w:tcPr>
            <w:tcW w:w="487" w:type="pct"/>
            <w:tcBorders>
              <w:top w:val="nil"/>
              <w:left w:val="nil"/>
              <w:bottom w:val="single" w:color="000000" w:sz="4" w:space="0"/>
              <w:right w:val="single" w:color="000000" w:sz="4" w:space="0"/>
            </w:tcBorders>
            <w:shd w:val="clear" w:color="auto" w:fill="auto"/>
            <w:vAlign w:val="center"/>
          </w:tcPr>
          <w:p w14:paraId="103D1B8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二级指标</w:t>
            </w:r>
          </w:p>
        </w:tc>
        <w:tc>
          <w:tcPr>
            <w:tcW w:w="534" w:type="pct"/>
            <w:tcBorders>
              <w:top w:val="nil"/>
              <w:left w:val="nil"/>
              <w:bottom w:val="single" w:color="000000" w:sz="4" w:space="0"/>
              <w:right w:val="single" w:color="000000" w:sz="4" w:space="0"/>
            </w:tcBorders>
            <w:shd w:val="clear" w:color="auto" w:fill="auto"/>
            <w:vAlign w:val="center"/>
          </w:tcPr>
          <w:p w14:paraId="3C9E37D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三级指标</w:t>
            </w:r>
          </w:p>
        </w:tc>
        <w:tc>
          <w:tcPr>
            <w:tcW w:w="288" w:type="pct"/>
            <w:gridSpan w:val="2"/>
            <w:tcBorders>
              <w:top w:val="nil"/>
              <w:left w:val="nil"/>
              <w:bottom w:val="single" w:color="000000" w:sz="4" w:space="0"/>
              <w:right w:val="single" w:color="000000" w:sz="4" w:space="0"/>
            </w:tcBorders>
            <w:shd w:val="clear" w:color="auto" w:fill="auto"/>
            <w:vAlign w:val="center"/>
          </w:tcPr>
          <w:p w14:paraId="654A1D2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指标性质</w:t>
            </w:r>
          </w:p>
        </w:tc>
        <w:tc>
          <w:tcPr>
            <w:tcW w:w="315" w:type="pct"/>
            <w:tcBorders>
              <w:top w:val="nil"/>
              <w:left w:val="nil"/>
              <w:bottom w:val="single" w:color="000000" w:sz="4" w:space="0"/>
              <w:right w:val="single" w:color="000000" w:sz="4" w:space="0"/>
            </w:tcBorders>
            <w:shd w:val="clear" w:color="auto" w:fill="auto"/>
            <w:vAlign w:val="center"/>
          </w:tcPr>
          <w:p w14:paraId="5C6A8CC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指标值</w:t>
            </w:r>
          </w:p>
        </w:tc>
        <w:tc>
          <w:tcPr>
            <w:tcW w:w="302" w:type="pct"/>
            <w:gridSpan w:val="2"/>
            <w:tcBorders>
              <w:top w:val="nil"/>
              <w:left w:val="nil"/>
              <w:bottom w:val="single" w:color="000000" w:sz="4" w:space="0"/>
              <w:right w:val="single" w:color="000000" w:sz="4" w:space="0"/>
            </w:tcBorders>
            <w:shd w:val="clear" w:color="auto" w:fill="auto"/>
            <w:vAlign w:val="center"/>
          </w:tcPr>
          <w:p w14:paraId="37CFEAD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度量单位</w:t>
            </w:r>
          </w:p>
        </w:tc>
        <w:tc>
          <w:tcPr>
            <w:tcW w:w="302" w:type="pct"/>
            <w:tcBorders>
              <w:top w:val="nil"/>
              <w:left w:val="nil"/>
              <w:bottom w:val="single" w:color="000000" w:sz="4" w:space="0"/>
              <w:right w:val="single" w:color="000000" w:sz="4" w:space="0"/>
            </w:tcBorders>
            <w:shd w:val="clear" w:color="auto" w:fill="auto"/>
            <w:vAlign w:val="center"/>
          </w:tcPr>
          <w:p w14:paraId="5D68B6D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完成值</w:t>
            </w:r>
          </w:p>
        </w:tc>
        <w:tc>
          <w:tcPr>
            <w:tcW w:w="312" w:type="pct"/>
            <w:gridSpan w:val="2"/>
            <w:tcBorders>
              <w:top w:val="nil"/>
              <w:left w:val="nil"/>
              <w:bottom w:val="single" w:color="000000" w:sz="4" w:space="0"/>
              <w:right w:val="single" w:color="000000" w:sz="4" w:space="0"/>
            </w:tcBorders>
            <w:shd w:val="clear" w:color="auto" w:fill="auto"/>
            <w:vAlign w:val="center"/>
          </w:tcPr>
          <w:p w14:paraId="6908BDD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255" w:type="pct"/>
            <w:tcBorders>
              <w:top w:val="nil"/>
              <w:left w:val="nil"/>
              <w:bottom w:val="single" w:color="000000" w:sz="4" w:space="0"/>
              <w:right w:val="single" w:color="000000" w:sz="4" w:space="0"/>
            </w:tcBorders>
            <w:shd w:val="clear" w:color="auto" w:fill="auto"/>
            <w:vAlign w:val="center"/>
          </w:tcPr>
          <w:p w14:paraId="42E770A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975" w:type="pct"/>
            <w:tcBorders>
              <w:top w:val="nil"/>
              <w:left w:val="nil"/>
              <w:bottom w:val="single" w:color="000000" w:sz="4" w:space="0"/>
              <w:right w:val="single" w:color="000000" w:sz="4" w:space="0"/>
            </w:tcBorders>
            <w:shd w:val="clear" w:color="auto" w:fill="auto"/>
            <w:vAlign w:val="center"/>
          </w:tcPr>
          <w:p w14:paraId="69B7ED8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未完成原因分析</w:t>
            </w:r>
          </w:p>
        </w:tc>
      </w:tr>
      <w:tr w14:paraId="0932EFEE">
        <w:tblPrEx>
          <w:tblCellMar>
            <w:top w:w="0" w:type="dxa"/>
            <w:left w:w="108" w:type="dxa"/>
            <w:bottom w:w="0" w:type="dxa"/>
            <w:right w:w="108" w:type="dxa"/>
          </w:tblCellMar>
        </w:tblPrEx>
        <w:trPr>
          <w:trHeight w:val="338" w:hRule="atLeast"/>
        </w:trPr>
        <w:tc>
          <w:tcPr>
            <w:tcW w:w="703" w:type="pct"/>
            <w:vMerge w:val="continue"/>
            <w:tcBorders>
              <w:top w:val="nil"/>
              <w:left w:val="single" w:color="000000" w:sz="4" w:space="0"/>
              <w:bottom w:val="single" w:color="000000" w:sz="4" w:space="0"/>
              <w:right w:val="single" w:color="000000" w:sz="4" w:space="0"/>
            </w:tcBorders>
            <w:vAlign w:val="center"/>
          </w:tcPr>
          <w:p w14:paraId="24ABB241">
            <w:pPr>
              <w:widowControl/>
              <w:jc w:val="left"/>
              <w:rPr>
                <w:rFonts w:ascii="宋体" w:hAnsi="宋体" w:eastAsia="宋体" w:cs="宋体"/>
                <w:color w:val="000000"/>
                <w:kern w:val="0"/>
                <w:sz w:val="18"/>
                <w:szCs w:val="18"/>
              </w:rPr>
            </w:pPr>
          </w:p>
        </w:tc>
        <w:tc>
          <w:tcPr>
            <w:tcW w:w="527" w:type="pct"/>
            <w:vMerge w:val="restart"/>
            <w:tcBorders>
              <w:top w:val="nil"/>
              <w:left w:val="single" w:color="000000" w:sz="4" w:space="0"/>
              <w:bottom w:val="single" w:color="000000" w:sz="4" w:space="0"/>
              <w:right w:val="single" w:color="000000" w:sz="4" w:space="0"/>
            </w:tcBorders>
            <w:shd w:val="clear" w:color="auto" w:fill="auto"/>
            <w:vAlign w:val="center"/>
          </w:tcPr>
          <w:p w14:paraId="160EC7C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w:t>
            </w:r>
          </w:p>
        </w:tc>
        <w:tc>
          <w:tcPr>
            <w:tcW w:w="487" w:type="pct"/>
            <w:tcBorders>
              <w:top w:val="nil"/>
              <w:left w:val="nil"/>
              <w:bottom w:val="single" w:color="000000" w:sz="4" w:space="0"/>
              <w:right w:val="single" w:color="000000" w:sz="4" w:space="0"/>
            </w:tcBorders>
            <w:shd w:val="clear" w:color="auto" w:fill="auto"/>
            <w:vAlign w:val="center"/>
          </w:tcPr>
          <w:p w14:paraId="6055919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tc>
        <w:tc>
          <w:tcPr>
            <w:tcW w:w="534" w:type="pct"/>
            <w:tcBorders>
              <w:top w:val="nil"/>
              <w:left w:val="nil"/>
              <w:bottom w:val="single" w:color="000000" w:sz="4" w:space="0"/>
              <w:right w:val="single" w:color="000000" w:sz="4" w:space="0"/>
            </w:tcBorders>
            <w:shd w:val="clear" w:color="auto" w:fill="auto"/>
            <w:vAlign w:val="center"/>
          </w:tcPr>
          <w:p w14:paraId="3886426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资助人数</w:t>
            </w:r>
          </w:p>
        </w:tc>
        <w:tc>
          <w:tcPr>
            <w:tcW w:w="288" w:type="pct"/>
            <w:gridSpan w:val="2"/>
            <w:tcBorders>
              <w:top w:val="nil"/>
              <w:left w:val="nil"/>
              <w:bottom w:val="single" w:color="000000" w:sz="4" w:space="0"/>
              <w:right w:val="single" w:color="000000" w:sz="4" w:space="0"/>
            </w:tcBorders>
            <w:shd w:val="clear" w:color="auto" w:fill="auto"/>
            <w:vAlign w:val="center"/>
          </w:tcPr>
          <w:p w14:paraId="6E9592B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315" w:type="pct"/>
            <w:tcBorders>
              <w:top w:val="nil"/>
              <w:left w:val="nil"/>
              <w:bottom w:val="single" w:color="000000" w:sz="4" w:space="0"/>
              <w:right w:val="single" w:color="000000" w:sz="4" w:space="0"/>
            </w:tcBorders>
            <w:shd w:val="clear" w:color="auto" w:fill="auto"/>
            <w:vAlign w:val="center"/>
          </w:tcPr>
          <w:p w14:paraId="3EFA9E7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300</w:t>
            </w:r>
          </w:p>
        </w:tc>
        <w:tc>
          <w:tcPr>
            <w:tcW w:w="302" w:type="pct"/>
            <w:gridSpan w:val="2"/>
            <w:tcBorders>
              <w:top w:val="nil"/>
              <w:left w:val="nil"/>
              <w:bottom w:val="single" w:color="000000" w:sz="4" w:space="0"/>
              <w:right w:val="single" w:color="000000" w:sz="4" w:space="0"/>
            </w:tcBorders>
            <w:shd w:val="clear" w:color="auto" w:fill="auto"/>
            <w:vAlign w:val="center"/>
          </w:tcPr>
          <w:p w14:paraId="3DDB712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302" w:type="pct"/>
            <w:tcBorders>
              <w:top w:val="nil"/>
              <w:left w:val="nil"/>
              <w:bottom w:val="single" w:color="000000" w:sz="4" w:space="0"/>
              <w:right w:val="single" w:color="000000" w:sz="4" w:space="0"/>
            </w:tcBorders>
            <w:shd w:val="clear" w:color="auto" w:fill="auto"/>
            <w:vAlign w:val="center"/>
          </w:tcPr>
          <w:p w14:paraId="368D967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416</w:t>
            </w:r>
          </w:p>
        </w:tc>
        <w:tc>
          <w:tcPr>
            <w:tcW w:w="312" w:type="pct"/>
            <w:gridSpan w:val="2"/>
            <w:tcBorders>
              <w:top w:val="nil"/>
              <w:left w:val="nil"/>
              <w:bottom w:val="single" w:color="000000" w:sz="4" w:space="0"/>
              <w:right w:val="single" w:color="000000" w:sz="4" w:space="0"/>
            </w:tcBorders>
            <w:shd w:val="clear" w:color="auto" w:fill="auto"/>
            <w:vAlign w:val="center"/>
          </w:tcPr>
          <w:p w14:paraId="51C78FA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255" w:type="pct"/>
            <w:tcBorders>
              <w:top w:val="nil"/>
              <w:left w:val="nil"/>
              <w:bottom w:val="single" w:color="000000" w:sz="4" w:space="0"/>
              <w:right w:val="single" w:color="000000" w:sz="4" w:space="0"/>
            </w:tcBorders>
            <w:shd w:val="clear" w:color="auto" w:fill="auto"/>
            <w:vAlign w:val="center"/>
          </w:tcPr>
          <w:p w14:paraId="3DE7931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　</w:t>
            </w:r>
          </w:p>
        </w:tc>
        <w:tc>
          <w:tcPr>
            <w:tcW w:w="975" w:type="pct"/>
            <w:tcBorders>
              <w:top w:val="nil"/>
              <w:left w:val="nil"/>
              <w:bottom w:val="single" w:color="000000" w:sz="4" w:space="0"/>
              <w:right w:val="single" w:color="000000" w:sz="4" w:space="0"/>
            </w:tcBorders>
            <w:shd w:val="clear" w:color="auto" w:fill="auto"/>
            <w:vAlign w:val="center"/>
          </w:tcPr>
          <w:p w14:paraId="2581F26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2556D8E">
        <w:tblPrEx>
          <w:tblCellMar>
            <w:top w:w="0" w:type="dxa"/>
            <w:left w:w="108" w:type="dxa"/>
            <w:bottom w:w="0" w:type="dxa"/>
            <w:right w:w="108" w:type="dxa"/>
          </w:tblCellMar>
        </w:tblPrEx>
        <w:trPr>
          <w:trHeight w:val="776" w:hRule="atLeast"/>
        </w:trPr>
        <w:tc>
          <w:tcPr>
            <w:tcW w:w="703" w:type="pct"/>
            <w:vMerge w:val="continue"/>
            <w:tcBorders>
              <w:top w:val="nil"/>
              <w:left w:val="single" w:color="000000" w:sz="4" w:space="0"/>
              <w:bottom w:val="single" w:color="000000" w:sz="4" w:space="0"/>
              <w:right w:val="single" w:color="000000" w:sz="4" w:space="0"/>
            </w:tcBorders>
            <w:vAlign w:val="center"/>
          </w:tcPr>
          <w:p w14:paraId="1DBD257E">
            <w:pPr>
              <w:widowControl/>
              <w:jc w:val="left"/>
              <w:rPr>
                <w:rFonts w:ascii="宋体" w:hAnsi="宋体" w:eastAsia="宋体" w:cs="宋体"/>
                <w:color w:val="000000"/>
                <w:kern w:val="0"/>
                <w:sz w:val="18"/>
                <w:szCs w:val="18"/>
              </w:rPr>
            </w:pPr>
          </w:p>
        </w:tc>
        <w:tc>
          <w:tcPr>
            <w:tcW w:w="527" w:type="pct"/>
            <w:vMerge w:val="continue"/>
            <w:tcBorders>
              <w:top w:val="nil"/>
              <w:left w:val="single" w:color="000000" w:sz="4" w:space="0"/>
              <w:bottom w:val="single" w:color="000000" w:sz="4" w:space="0"/>
              <w:right w:val="single" w:color="000000" w:sz="4" w:space="0"/>
            </w:tcBorders>
            <w:vAlign w:val="center"/>
          </w:tcPr>
          <w:p w14:paraId="04EC6143">
            <w:pPr>
              <w:widowControl/>
              <w:jc w:val="left"/>
              <w:rPr>
                <w:rFonts w:ascii="宋体" w:hAnsi="宋体" w:eastAsia="宋体" w:cs="宋体"/>
                <w:color w:val="000000"/>
                <w:kern w:val="0"/>
                <w:sz w:val="18"/>
                <w:szCs w:val="18"/>
              </w:rPr>
            </w:pPr>
          </w:p>
        </w:tc>
        <w:tc>
          <w:tcPr>
            <w:tcW w:w="487" w:type="pct"/>
            <w:tcBorders>
              <w:top w:val="nil"/>
              <w:left w:val="nil"/>
              <w:bottom w:val="single" w:color="000000" w:sz="4" w:space="0"/>
              <w:right w:val="single" w:color="000000" w:sz="4" w:space="0"/>
            </w:tcBorders>
            <w:shd w:val="clear" w:color="auto" w:fill="auto"/>
            <w:vAlign w:val="center"/>
          </w:tcPr>
          <w:p w14:paraId="4C4941D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534" w:type="pct"/>
            <w:tcBorders>
              <w:top w:val="nil"/>
              <w:left w:val="nil"/>
              <w:bottom w:val="single" w:color="000000" w:sz="4" w:space="0"/>
              <w:right w:val="single" w:color="000000" w:sz="4" w:space="0"/>
            </w:tcBorders>
            <w:shd w:val="clear" w:color="auto" w:fill="auto"/>
            <w:vAlign w:val="center"/>
          </w:tcPr>
          <w:p w14:paraId="7D440BD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促进教育公平</w:t>
            </w:r>
          </w:p>
        </w:tc>
        <w:tc>
          <w:tcPr>
            <w:tcW w:w="288" w:type="pct"/>
            <w:gridSpan w:val="2"/>
            <w:tcBorders>
              <w:top w:val="nil"/>
              <w:left w:val="nil"/>
              <w:bottom w:val="single" w:color="000000" w:sz="4" w:space="0"/>
              <w:right w:val="single" w:color="000000" w:sz="4" w:space="0"/>
            </w:tcBorders>
            <w:shd w:val="clear" w:color="auto" w:fill="auto"/>
            <w:vAlign w:val="center"/>
          </w:tcPr>
          <w:p w14:paraId="62E1957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定性</w:t>
            </w:r>
          </w:p>
        </w:tc>
        <w:tc>
          <w:tcPr>
            <w:tcW w:w="315" w:type="pct"/>
            <w:tcBorders>
              <w:top w:val="nil"/>
              <w:left w:val="nil"/>
              <w:bottom w:val="single" w:color="000000" w:sz="4" w:space="0"/>
              <w:right w:val="single" w:color="000000" w:sz="4" w:space="0"/>
            </w:tcBorders>
            <w:shd w:val="clear" w:color="auto" w:fill="auto"/>
            <w:vAlign w:val="center"/>
          </w:tcPr>
          <w:p w14:paraId="0D2A6C2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优良中低差</w:t>
            </w:r>
          </w:p>
        </w:tc>
        <w:tc>
          <w:tcPr>
            <w:tcW w:w="302" w:type="pct"/>
            <w:gridSpan w:val="2"/>
            <w:tcBorders>
              <w:top w:val="nil"/>
              <w:left w:val="nil"/>
              <w:bottom w:val="single" w:color="000000" w:sz="4" w:space="0"/>
              <w:right w:val="single" w:color="000000" w:sz="4" w:space="0"/>
            </w:tcBorders>
            <w:shd w:val="clear" w:color="auto" w:fill="auto"/>
            <w:vAlign w:val="center"/>
          </w:tcPr>
          <w:p w14:paraId="28CF429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02" w:type="pct"/>
            <w:tcBorders>
              <w:top w:val="nil"/>
              <w:left w:val="nil"/>
              <w:bottom w:val="single" w:color="000000" w:sz="4" w:space="0"/>
              <w:right w:val="single" w:color="000000" w:sz="4" w:space="0"/>
            </w:tcBorders>
            <w:shd w:val="clear" w:color="auto" w:fill="auto"/>
            <w:vAlign w:val="center"/>
          </w:tcPr>
          <w:p w14:paraId="15706FD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312" w:type="pct"/>
            <w:gridSpan w:val="2"/>
            <w:tcBorders>
              <w:top w:val="nil"/>
              <w:left w:val="nil"/>
              <w:bottom w:val="single" w:color="000000" w:sz="4" w:space="0"/>
              <w:right w:val="single" w:color="000000" w:sz="4" w:space="0"/>
            </w:tcBorders>
            <w:shd w:val="clear" w:color="auto" w:fill="auto"/>
            <w:vAlign w:val="center"/>
          </w:tcPr>
          <w:p w14:paraId="612471F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255" w:type="pct"/>
            <w:tcBorders>
              <w:top w:val="nil"/>
              <w:left w:val="nil"/>
              <w:bottom w:val="single" w:color="000000" w:sz="4" w:space="0"/>
              <w:right w:val="single" w:color="000000" w:sz="4" w:space="0"/>
            </w:tcBorders>
            <w:shd w:val="clear" w:color="auto" w:fill="auto"/>
            <w:vAlign w:val="center"/>
          </w:tcPr>
          <w:p w14:paraId="1102D1A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　</w:t>
            </w:r>
          </w:p>
        </w:tc>
        <w:tc>
          <w:tcPr>
            <w:tcW w:w="975" w:type="pct"/>
            <w:tcBorders>
              <w:top w:val="nil"/>
              <w:left w:val="nil"/>
              <w:bottom w:val="single" w:color="000000" w:sz="4" w:space="0"/>
              <w:right w:val="single" w:color="000000" w:sz="4" w:space="0"/>
            </w:tcBorders>
            <w:shd w:val="clear" w:color="auto" w:fill="auto"/>
            <w:vAlign w:val="center"/>
          </w:tcPr>
          <w:p w14:paraId="68ED092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77BD6CD">
        <w:tblPrEx>
          <w:tblCellMar>
            <w:top w:w="0" w:type="dxa"/>
            <w:left w:w="108" w:type="dxa"/>
            <w:bottom w:w="0" w:type="dxa"/>
            <w:right w:w="108" w:type="dxa"/>
          </w:tblCellMar>
        </w:tblPrEx>
        <w:trPr>
          <w:trHeight w:val="338" w:hRule="atLeast"/>
        </w:trPr>
        <w:tc>
          <w:tcPr>
            <w:tcW w:w="703" w:type="pct"/>
            <w:vMerge w:val="continue"/>
            <w:tcBorders>
              <w:top w:val="nil"/>
              <w:left w:val="single" w:color="000000" w:sz="4" w:space="0"/>
              <w:bottom w:val="single" w:color="000000" w:sz="4" w:space="0"/>
              <w:right w:val="single" w:color="000000" w:sz="4" w:space="0"/>
            </w:tcBorders>
            <w:vAlign w:val="center"/>
          </w:tcPr>
          <w:p w14:paraId="7F41118A">
            <w:pPr>
              <w:widowControl/>
              <w:jc w:val="left"/>
              <w:rPr>
                <w:rFonts w:ascii="宋体" w:hAnsi="宋体" w:eastAsia="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14:paraId="3EEBC54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效益指标</w:t>
            </w:r>
          </w:p>
        </w:tc>
        <w:tc>
          <w:tcPr>
            <w:tcW w:w="487" w:type="pct"/>
            <w:tcBorders>
              <w:top w:val="nil"/>
              <w:left w:val="nil"/>
              <w:bottom w:val="single" w:color="000000" w:sz="4" w:space="0"/>
              <w:right w:val="single" w:color="000000" w:sz="4" w:space="0"/>
            </w:tcBorders>
            <w:shd w:val="clear" w:color="auto" w:fill="auto"/>
            <w:vAlign w:val="center"/>
          </w:tcPr>
          <w:p w14:paraId="3FB26D3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社会效益指标</w:t>
            </w:r>
          </w:p>
        </w:tc>
        <w:tc>
          <w:tcPr>
            <w:tcW w:w="534" w:type="pct"/>
            <w:tcBorders>
              <w:top w:val="nil"/>
              <w:left w:val="nil"/>
              <w:bottom w:val="single" w:color="000000" w:sz="4" w:space="0"/>
              <w:right w:val="single" w:color="000000" w:sz="4" w:space="0"/>
            </w:tcBorders>
            <w:shd w:val="clear" w:color="auto" w:fill="auto"/>
            <w:vAlign w:val="center"/>
          </w:tcPr>
          <w:p w14:paraId="2663084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提高学生就业率</w:t>
            </w:r>
          </w:p>
        </w:tc>
        <w:tc>
          <w:tcPr>
            <w:tcW w:w="288" w:type="pct"/>
            <w:gridSpan w:val="2"/>
            <w:tcBorders>
              <w:top w:val="nil"/>
              <w:left w:val="nil"/>
              <w:bottom w:val="single" w:color="000000" w:sz="4" w:space="0"/>
              <w:right w:val="single" w:color="000000" w:sz="4" w:space="0"/>
            </w:tcBorders>
            <w:shd w:val="clear" w:color="auto" w:fill="auto"/>
            <w:vAlign w:val="center"/>
          </w:tcPr>
          <w:p w14:paraId="36A30C5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315" w:type="pct"/>
            <w:tcBorders>
              <w:top w:val="nil"/>
              <w:left w:val="nil"/>
              <w:bottom w:val="single" w:color="000000" w:sz="4" w:space="0"/>
              <w:right w:val="single" w:color="000000" w:sz="4" w:space="0"/>
            </w:tcBorders>
            <w:shd w:val="clear" w:color="auto" w:fill="auto"/>
            <w:vAlign w:val="center"/>
          </w:tcPr>
          <w:p w14:paraId="0AA0826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92</w:t>
            </w:r>
          </w:p>
        </w:tc>
        <w:tc>
          <w:tcPr>
            <w:tcW w:w="302" w:type="pct"/>
            <w:gridSpan w:val="2"/>
            <w:tcBorders>
              <w:top w:val="nil"/>
              <w:left w:val="nil"/>
              <w:bottom w:val="single" w:color="000000" w:sz="4" w:space="0"/>
              <w:right w:val="single" w:color="000000" w:sz="4" w:space="0"/>
            </w:tcBorders>
            <w:shd w:val="clear" w:color="auto" w:fill="auto"/>
            <w:vAlign w:val="center"/>
          </w:tcPr>
          <w:p w14:paraId="2B5BCE3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302" w:type="pct"/>
            <w:tcBorders>
              <w:top w:val="nil"/>
              <w:left w:val="nil"/>
              <w:bottom w:val="single" w:color="000000" w:sz="4" w:space="0"/>
              <w:right w:val="single" w:color="000000" w:sz="4" w:space="0"/>
            </w:tcBorders>
            <w:shd w:val="clear" w:color="auto" w:fill="auto"/>
            <w:vAlign w:val="center"/>
          </w:tcPr>
          <w:p w14:paraId="317B7C9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92</w:t>
            </w:r>
          </w:p>
        </w:tc>
        <w:tc>
          <w:tcPr>
            <w:tcW w:w="312" w:type="pct"/>
            <w:gridSpan w:val="2"/>
            <w:tcBorders>
              <w:top w:val="nil"/>
              <w:left w:val="nil"/>
              <w:bottom w:val="single" w:color="000000" w:sz="4" w:space="0"/>
              <w:right w:val="single" w:color="000000" w:sz="4" w:space="0"/>
            </w:tcBorders>
            <w:shd w:val="clear" w:color="auto" w:fill="auto"/>
            <w:vAlign w:val="center"/>
          </w:tcPr>
          <w:p w14:paraId="2B7E848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255" w:type="pct"/>
            <w:tcBorders>
              <w:top w:val="nil"/>
              <w:left w:val="nil"/>
              <w:bottom w:val="single" w:color="000000" w:sz="4" w:space="0"/>
              <w:right w:val="single" w:color="000000" w:sz="4" w:space="0"/>
            </w:tcBorders>
            <w:shd w:val="clear" w:color="auto" w:fill="auto"/>
            <w:vAlign w:val="center"/>
          </w:tcPr>
          <w:p w14:paraId="70FE210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　</w:t>
            </w:r>
          </w:p>
        </w:tc>
        <w:tc>
          <w:tcPr>
            <w:tcW w:w="975" w:type="pct"/>
            <w:tcBorders>
              <w:top w:val="nil"/>
              <w:left w:val="nil"/>
              <w:bottom w:val="single" w:color="000000" w:sz="4" w:space="0"/>
              <w:right w:val="single" w:color="000000" w:sz="4" w:space="0"/>
            </w:tcBorders>
            <w:shd w:val="clear" w:color="auto" w:fill="auto"/>
            <w:vAlign w:val="center"/>
          </w:tcPr>
          <w:p w14:paraId="165E235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0E3C1C0">
        <w:tblPrEx>
          <w:tblCellMar>
            <w:top w:w="0" w:type="dxa"/>
            <w:left w:w="108" w:type="dxa"/>
            <w:bottom w:w="0" w:type="dxa"/>
            <w:right w:w="108" w:type="dxa"/>
          </w:tblCellMar>
        </w:tblPrEx>
        <w:trPr>
          <w:trHeight w:val="338" w:hRule="atLeast"/>
        </w:trPr>
        <w:tc>
          <w:tcPr>
            <w:tcW w:w="703" w:type="pct"/>
            <w:vMerge w:val="continue"/>
            <w:tcBorders>
              <w:top w:val="nil"/>
              <w:left w:val="single" w:color="000000" w:sz="4" w:space="0"/>
              <w:bottom w:val="single" w:color="000000" w:sz="4" w:space="0"/>
              <w:right w:val="single" w:color="000000" w:sz="4" w:space="0"/>
            </w:tcBorders>
            <w:vAlign w:val="center"/>
          </w:tcPr>
          <w:p w14:paraId="6F255549">
            <w:pPr>
              <w:widowControl/>
              <w:jc w:val="left"/>
              <w:rPr>
                <w:rFonts w:ascii="宋体" w:hAnsi="宋体" w:eastAsia="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14:paraId="1F971FD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487" w:type="pct"/>
            <w:tcBorders>
              <w:top w:val="nil"/>
              <w:left w:val="nil"/>
              <w:bottom w:val="single" w:color="000000" w:sz="4" w:space="0"/>
              <w:right w:val="single" w:color="000000" w:sz="4" w:space="0"/>
            </w:tcBorders>
            <w:shd w:val="clear" w:color="auto" w:fill="auto"/>
            <w:vAlign w:val="center"/>
          </w:tcPr>
          <w:p w14:paraId="63A0662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534" w:type="pct"/>
            <w:tcBorders>
              <w:top w:val="nil"/>
              <w:left w:val="nil"/>
              <w:bottom w:val="single" w:color="000000" w:sz="4" w:space="0"/>
              <w:right w:val="single" w:color="000000" w:sz="4" w:space="0"/>
            </w:tcBorders>
            <w:shd w:val="clear" w:color="auto" w:fill="auto"/>
            <w:vAlign w:val="center"/>
          </w:tcPr>
          <w:p w14:paraId="7DBD335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学生及家长满意度</w:t>
            </w:r>
          </w:p>
        </w:tc>
        <w:tc>
          <w:tcPr>
            <w:tcW w:w="288" w:type="pct"/>
            <w:gridSpan w:val="2"/>
            <w:tcBorders>
              <w:top w:val="nil"/>
              <w:left w:val="nil"/>
              <w:bottom w:val="single" w:color="000000" w:sz="4" w:space="0"/>
              <w:right w:val="single" w:color="000000" w:sz="4" w:space="0"/>
            </w:tcBorders>
            <w:shd w:val="clear" w:color="auto" w:fill="auto"/>
            <w:vAlign w:val="center"/>
          </w:tcPr>
          <w:p w14:paraId="6845E42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315" w:type="pct"/>
            <w:tcBorders>
              <w:top w:val="nil"/>
              <w:left w:val="nil"/>
              <w:bottom w:val="single" w:color="000000" w:sz="4" w:space="0"/>
              <w:right w:val="single" w:color="000000" w:sz="4" w:space="0"/>
            </w:tcBorders>
            <w:shd w:val="clear" w:color="auto" w:fill="auto"/>
            <w:vAlign w:val="center"/>
          </w:tcPr>
          <w:p w14:paraId="73CE482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95</w:t>
            </w:r>
          </w:p>
        </w:tc>
        <w:tc>
          <w:tcPr>
            <w:tcW w:w="302" w:type="pct"/>
            <w:gridSpan w:val="2"/>
            <w:tcBorders>
              <w:top w:val="nil"/>
              <w:left w:val="nil"/>
              <w:bottom w:val="single" w:color="000000" w:sz="4" w:space="0"/>
              <w:right w:val="single" w:color="000000" w:sz="4" w:space="0"/>
            </w:tcBorders>
            <w:shd w:val="clear" w:color="auto" w:fill="auto"/>
            <w:vAlign w:val="center"/>
          </w:tcPr>
          <w:p w14:paraId="1E86F67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302" w:type="pct"/>
            <w:tcBorders>
              <w:top w:val="nil"/>
              <w:left w:val="nil"/>
              <w:bottom w:val="single" w:color="000000" w:sz="4" w:space="0"/>
              <w:right w:val="single" w:color="000000" w:sz="4" w:space="0"/>
            </w:tcBorders>
            <w:shd w:val="clear" w:color="auto" w:fill="auto"/>
            <w:vAlign w:val="center"/>
          </w:tcPr>
          <w:p w14:paraId="4E44CA6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95</w:t>
            </w:r>
          </w:p>
        </w:tc>
        <w:tc>
          <w:tcPr>
            <w:tcW w:w="312" w:type="pct"/>
            <w:gridSpan w:val="2"/>
            <w:tcBorders>
              <w:top w:val="nil"/>
              <w:left w:val="nil"/>
              <w:bottom w:val="single" w:color="000000" w:sz="4" w:space="0"/>
              <w:right w:val="single" w:color="000000" w:sz="4" w:space="0"/>
            </w:tcBorders>
            <w:shd w:val="clear" w:color="auto" w:fill="auto"/>
            <w:vAlign w:val="center"/>
          </w:tcPr>
          <w:p w14:paraId="5943F1A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255" w:type="pct"/>
            <w:tcBorders>
              <w:top w:val="nil"/>
              <w:left w:val="nil"/>
              <w:bottom w:val="single" w:color="000000" w:sz="4" w:space="0"/>
              <w:right w:val="single" w:color="000000" w:sz="4" w:space="0"/>
            </w:tcBorders>
            <w:shd w:val="clear" w:color="auto" w:fill="auto"/>
            <w:vAlign w:val="center"/>
          </w:tcPr>
          <w:p w14:paraId="3A668AD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　</w:t>
            </w:r>
          </w:p>
        </w:tc>
        <w:tc>
          <w:tcPr>
            <w:tcW w:w="975" w:type="pct"/>
            <w:tcBorders>
              <w:top w:val="nil"/>
              <w:left w:val="nil"/>
              <w:bottom w:val="single" w:color="000000" w:sz="4" w:space="0"/>
              <w:right w:val="single" w:color="000000" w:sz="4" w:space="0"/>
            </w:tcBorders>
            <w:shd w:val="clear" w:color="auto" w:fill="auto"/>
            <w:vAlign w:val="center"/>
          </w:tcPr>
          <w:p w14:paraId="1AB4E74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D73024A">
        <w:tblPrEx>
          <w:tblCellMar>
            <w:top w:w="0" w:type="dxa"/>
            <w:left w:w="108" w:type="dxa"/>
            <w:bottom w:w="0" w:type="dxa"/>
            <w:right w:w="108" w:type="dxa"/>
          </w:tblCellMar>
        </w:tblPrEx>
        <w:trPr>
          <w:trHeight w:val="285" w:hRule="atLeast"/>
        </w:trPr>
        <w:tc>
          <w:tcPr>
            <w:tcW w:w="34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BB59A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312" w:type="pct"/>
            <w:gridSpan w:val="2"/>
            <w:tcBorders>
              <w:top w:val="nil"/>
              <w:left w:val="nil"/>
              <w:bottom w:val="single" w:color="000000" w:sz="4" w:space="0"/>
              <w:right w:val="single" w:color="000000" w:sz="4" w:space="0"/>
            </w:tcBorders>
            <w:shd w:val="clear" w:color="auto" w:fill="auto"/>
            <w:vAlign w:val="center"/>
          </w:tcPr>
          <w:p w14:paraId="1F9F5DA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255" w:type="pct"/>
            <w:tcBorders>
              <w:top w:val="nil"/>
              <w:left w:val="nil"/>
              <w:bottom w:val="single" w:color="000000" w:sz="4" w:space="0"/>
              <w:right w:val="single" w:color="000000" w:sz="4" w:space="0"/>
            </w:tcBorders>
            <w:shd w:val="clear" w:color="auto" w:fill="auto"/>
            <w:vAlign w:val="center"/>
          </w:tcPr>
          <w:p w14:paraId="495582FB">
            <w:pPr>
              <w:widowControl/>
              <w:ind w:firstLine="90" w:firstLineChars="5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99　</w:t>
            </w:r>
          </w:p>
        </w:tc>
        <w:tc>
          <w:tcPr>
            <w:tcW w:w="975" w:type="pct"/>
            <w:tcBorders>
              <w:top w:val="nil"/>
              <w:left w:val="nil"/>
              <w:bottom w:val="single" w:color="000000" w:sz="4" w:space="0"/>
              <w:right w:val="single" w:color="000000" w:sz="4" w:space="0"/>
            </w:tcBorders>
            <w:shd w:val="clear" w:color="auto" w:fill="auto"/>
            <w:vAlign w:val="center"/>
          </w:tcPr>
          <w:p w14:paraId="4E7559D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592D509">
        <w:tblPrEx>
          <w:tblCellMar>
            <w:top w:w="0" w:type="dxa"/>
            <w:left w:w="108" w:type="dxa"/>
            <w:bottom w:w="0" w:type="dxa"/>
            <w:right w:w="108" w:type="dxa"/>
          </w:tblCellMar>
        </w:tblPrEx>
        <w:trPr>
          <w:trHeight w:val="604" w:hRule="atLeast"/>
        </w:trPr>
        <w:tc>
          <w:tcPr>
            <w:tcW w:w="703" w:type="pct"/>
            <w:tcBorders>
              <w:top w:val="nil"/>
              <w:left w:val="single" w:color="000000" w:sz="4" w:space="0"/>
              <w:bottom w:val="single" w:color="000000" w:sz="4" w:space="0"/>
              <w:right w:val="single" w:color="000000" w:sz="4" w:space="0"/>
            </w:tcBorders>
            <w:shd w:val="clear" w:color="auto" w:fill="auto"/>
            <w:vAlign w:val="center"/>
          </w:tcPr>
          <w:p w14:paraId="799E8E6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评价结论</w:t>
            </w:r>
          </w:p>
        </w:tc>
        <w:tc>
          <w:tcPr>
            <w:tcW w:w="4297" w:type="pct"/>
            <w:gridSpan w:val="13"/>
            <w:tcBorders>
              <w:top w:val="single" w:color="000000" w:sz="4" w:space="0"/>
              <w:left w:val="nil"/>
              <w:bottom w:val="single" w:color="000000" w:sz="4" w:space="0"/>
              <w:right w:val="single" w:color="000000" w:sz="4" w:space="0"/>
            </w:tcBorders>
            <w:shd w:val="clear" w:color="auto" w:fill="auto"/>
            <w:vAlign w:val="center"/>
          </w:tcPr>
          <w:p w14:paraId="6BB9E27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本项目资金预算执行率100%，主要用于学院水电劳务费等费用支出，奖助学金精准发放至受助学生，保障了学院教学管理工作正常运转，促进教育公平。</w:t>
            </w:r>
          </w:p>
        </w:tc>
      </w:tr>
      <w:tr w14:paraId="2034CED9">
        <w:tblPrEx>
          <w:tblCellMar>
            <w:top w:w="0" w:type="dxa"/>
            <w:left w:w="108" w:type="dxa"/>
            <w:bottom w:w="0" w:type="dxa"/>
            <w:right w:w="108" w:type="dxa"/>
          </w:tblCellMar>
        </w:tblPrEx>
        <w:trPr>
          <w:trHeight w:val="453" w:hRule="atLeast"/>
        </w:trPr>
        <w:tc>
          <w:tcPr>
            <w:tcW w:w="703" w:type="pct"/>
            <w:tcBorders>
              <w:top w:val="nil"/>
              <w:left w:val="single" w:color="000000" w:sz="4" w:space="0"/>
              <w:bottom w:val="single" w:color="000000" w:sz="4" w:space="0"/>
              <w:right w:val="single" w:color="000000" w:sz="4" w:space="0"/>
            </w:tcBorders>
            <w:shd w:val="clear" w:color="auto" w:fill="auto"/>
            <w:vAlign w:val="center"/>
          </w:tcPr>
          <w:p w14:paraId="27658F7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存在问题</w:t>
            </w:r>
          </w:p>
        </w:tc>
        <w:tc>
          <w:tcPr>
            <w:tcW w:w="4297" w:type="pct"/>
            <w:gridSpan w:val="13"/>
            <w:tcBorders>
              <w:top w:val="single" w:color="000000" w:sz="4" w:space="0"/>
              <w:left w:val="nil"/>
              <w:bottom w:val="single" w:color="000000" w:sz="4" w:space="0"/>
              <w:right w:val="single" w:color="000000" w:sz="4" w:space="0"/>
            </w:tcBorders>
            <w:shd w:val="clear" w:color="auto" w:fill="auto"/>
            <w:vAlign w:val="center"/>
          </w:tcPr>
          <w:p w14:paraId="365CB85D">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本项目严格按预算、按计划执行，执行过程严格按相关政策流程，但还需提高预算编制精准度。</w:t>
            </w:r>
          </w:p>
        </w:tc>
      </w:tr>
      <w:tr w14:paraId="1FA61A32">
        <w:tblPrEx>
          <w:tblCellMar>
            <w:top w:w="0" w:type="dxa"/>
            <w:left w:w="108" w:type="dxa"/>
            <w:bottom w:w="0" w:type="dxa"/>
            <w:right w:w="108" w:type="dxa"/>
          </w:tblCellMar>
        </w:tblPrEx>
        <w:trPr>
          <w:trHeight w:val="403" w:hRule="atLeast"/>
        </w:trPr>
        <w:tc>
          <w:tcPr>
            <w:tcW w:w="703" w:type="pct"/>
            <w:tcBorders>
              <w:top w:val="nil"/>
              <w:left w:val="single" w:color="000000" w:sz="4" w:space="0"/>
              <w:bottom w:val="single" w:color="000000" w:sz="4" w:space="0"/>
              <w:right w:val="single" w:color="000000" w:sz="4" w:space="0"/>
            </w:tcBorders>
            <w:shd w:val="clear" w:color="auto" w:fill="auto"/>
            <w:vAlign w:val="center"/>
          </w:tcPr>
          <w:p w14:paraId="2E8FA1C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改进措施</w:t>
            </w:r>
          </w:p>
        </w:tc>
        <w:tc>
          <w:tcPr>
            <w:tcW w:w="4297" w:type="pct"/>
            <w:gridSpan w:val="13"/>
            <w:tcBorders>
              <w:top w:val="single" w:color="000000" w:sz="4" w:space="0"/>
              <w:left w:val="nil"/>
              <w:bottom w:val="single" w:color="000000" w:sz="4" w:space="0"/>
              <w:right w:val="single" w:color="000000" w:sz="4" w:space="0"/>
            </w:tcBorders>
            <w:shd w:val="clear" w:color="auto" w:fill="auto"/>
            <w:vAlign w:val="center"/>
          </w:tcPr>
          <w:p w14:paraId="68BB0C7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协同单位各部门，制定更加合理细致全面的资金使用计划，更好地提高资金使用效益。</w:t>
            </w:r>
          </w:p>
        </w:tc>
      </w:tr>
      <w:tr w14:paraId="6746F270">
        <w:tblPrEx>
          <w:tblCellMar>
            <w:top w:w="0" w:type="dxa"/>
            <w:left w:w="108" w:type="dxa"/>
            <w:bottom w:w="0" w:type="dxa"/>
            <w:right w:w="108" w:type="dxa"/>
          </w:tblCellMar>
        </w:tblPrEx>
        <w:trPr>
          <w:trHeight w:val="285" w:hRule="atLeast"/>
        </w:trPr>
        <w:tc>
          <w:tcPr>
            <w:tcW w:w="243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06BF70">
            <w:pPr>
              <w:widowControl/>
              <w:jc w:val="left"/>
              <w:rPr>
                <w:rFonts w:hint="eastAsia" w:ascii="黑体" w:hAnsi="黑体" w:eastAsia="宋体" w:cs="宋体"/>
                <w:color w:val="000000"/>
                <w:kern w:val="0"/>
                <w:sz w:val="18"/>
                <w:szCs w:val="18"/>
              </w:rPr>
            </w:pPr>
            <w:r>
              <w:rPr>
                <w:rFonts w:ascii="黑体" w:hAnsi="黑体" w:eastAsia="宋体" w:cs="宋体"/>
                <w:color w:val="000000"/>
                <w:kern w:val="0"/>
                <w:sz w:val="18"/>
                <w:szCs w:val="18"/>
              </w:rPr>
              <w:t>项目负责人：李秀英</w:t>
            </w:r>
          </w:p>
        </w:tc>
        <w:tc>
          <w:tcPr>
            <w:tcW w:w="2563" w:type="pct"/>
            <w:gridSpan w:val="9"/>
            <w:tcBorders>
              <w:top w:val="single" w:color="000000" w:sz="4" w:space="0"/>
              <w:left w:val="nil"/>
              <w:bottom w:val="single" w:color="000000" w:sz="4" w:space="0"/>
              <w:right w:val="single" w:color="000000" w:sz="4" w:space="0"/>
            </w:tcBorders>
            <w:shd w:val="clear" w:color="auto" w:fill="auto"/>
            <w:vAlign w:val="center"/>
          </w:tcPr>
          <w:p w14:paraId="170922DB">
            <w:pPr>
              <w:widowControl/>
              <w:jc w:val="left"/>
              <w:rPr>
                <w:rFonts w:hint="eastAsia" w:ascii="黑体" w:hAnsi="黑体" w:eastAsia="宋体" w:cs="宋体"/>
                <w:color w:val="000000"/>
                <w:kern w:val="0"/>
                <w:sz w:val="18"/>
                <w:szCs w:val="18"/>
              </w:rPr>
            </w:pPr>
            <w:r>
              <w:rPr>
                <w:rFonts w:ascii="黑体" w:hAnsi="黑体" w:eastAsia="宋体" w:cs="宋体"/>
                <w:color w:val="000000"/>
                <w:kern w:val="0"/>
                <w:sz w:val="18"/>
                <w:szCs w:val="18"/>
              </w:rPr>
              <w:t>财务负责人：张玲</w:t>
            </w:r>
          </w:p>
        </w:tc>
      </w:tr>
    </w:tbl>
    <w:p w14:paraId="4CF580C8">
      <w:pPr>
        <w:spacing w:line="600" w:lineRule="exact"/>
        <w:jc w:val="center"/>
        <w:outlineLvl w:val="0"/>
        <w:rPr>
          <w:rStyle w:val="17"/>
          <w:rFonts w:ascii="黑体" w:hAnsi="黑体" w:eastAsia="黑体"/>
          <w:b w:val="0"/>
        </w:rPr>
      </w:pPr>
      <w:r>
        <w:rPr>
          <w:rFonts w:hint="eastAsia" w:ascii="黑体" w:hAnsi="黑体" w:eastAsia="黑体"/>
          <w:color w:val="000000"/>
          <w:sz w:val="44"/>
          <w:szCs w:val="44"/>
        </w:rPr>
        <w:t>第</w:t>
      </w:r>
      <w:r>
        <w:rPr>
          <w:rStyle w:val="17"/>
          <w:rFonts w:hint="eastAsia" w:ascii="黑体" w:hAnsi="黑体" w:eastAsia="黑体"/>
          <w:b w:val="0"/>
        </w:rPr>
        <w:t>五部分</w:t>
      </w:r>
      <w:r>
        <w:rPr>
          <w:rStyle w:val="17"/>
          <w:rFonts w:ascii="黑体" w:hAnsi="黑体" w:eastAsia="黑体"/>
          <w:b w:val="0"/>
        </w:rPr>
        <w:t xml:space="preserve"> </w:t>
      </w:r>
      <w:r>
        <w:rPr>
          <w:rStyle w:val="17"/>
          <w:rFonts w:hint="eastAsia" w:ascii="黑体" w:hAnsi="黑体" w:eastAsia="黑体"/>
          <w:b w:val="0"/>
        </w:rPr>
        <w:t>附表</w:t>
      </w:r>
      <w:bookmarkEnd w:id="61"/>
      <w:bookmarkEnd w:id="64"/>
      <w:bookmarkEnd w:id="65"/>
    </w:p>
    <w:p w14:paraId="3CD0C408">
      <w:pPr>
        <w:spacing w:line="600" w:lineRule="exact"/>
        <w:outlineLvl w:val="0"/>
        <w:rPr>
          <w:rFonts w:ascii="仿宋" w:hAnsi="仿宋" w:eastAsia="仿宋"/>
          <w:b/>
          <w:color w:val="000000"/>
          <w:sz w:val="44"/>
          <w:szCs w:val="44"/>
        </w:rPr>
      </w:pPr>
    </w:p>
    <w:p w14:paraId="5018269F">
      <w:pPr>
        <w:pStyle w:val="4"/>
        <w:rPr>
          <w:rFonts w:ascii="仿宋" w:hAnsi="仿宋" w:eastAsia="仿宋"/>
        </w:rPr>
      </w:pPr>
      <w:bookmarkStart w:id="66" w:name="_Toc21455"/>
      <w:r>
        <w:rPr>
          <w:rFonts w:hint="eastAsia" w:ascii="仿宋" w:hAnsi="仿宋" w:eastAsia="仿宋"/>
          <w:b w:val="0"/>
        </w:rPr>
        <w:t>一、收</w:t>
      </w:r>
      <w:r>
        <w:rPr>
          <w:rStyle w:val="21"/>
          <w:rFonts w:hint="eastAsia" w:ascii="仿宋" w:hAnsi="仿宋" w:eastAsia="仿宋"/>
          <w:b w:val="0"/>
          <w:bCs w:val="0"/>
        </w:rPr>
        <w:t>入支出决算总表</w:t>
      </w:r>
      <w:bookmarkEnd w:id="66"/>
    </w:p>
    <w:p w14:paraId="110F8A5D">
      <w:pPr>
        <w:pStyle w:val="4"/>
        <w:rPr>
          <w:rFonts w:ascii="仿宋" w:hAnsi="仿宋" w:eastAsia="仿宋"/>
        </w:rPr>
      </w:pPr>
      <w:bookmarkStart w:id="67" w:name="_Toc15396620"/>
      <w:bookmarkStart w:id="68" w:name="_Toc19902"/>
      <w:r>
        <w:rPr>
          <w:rFonts w:hint="eastAsia" w:ascii="仿宋" w:hAnsi="仿宋" w:eastAsia="仿宋"/>
          <w:b w:val="0"/>
        </w:rPr>
        <w:t>二、收</w:t>
      </w:r>
      <w:r>
        <w:rPr>
          <w:rStyle w:val="21"/>
          <w:rFonts w:hint="eastAsia" w:ascii="仿宋" w:hAnsi="仿宋" w:eastAsia="仿宋"/>
          <w:b w:val="0"/>
          <w:bCs w:val="0"/>
        </w:rPr>
        <w:t>入决算表</w:t>
      </w:r>
      <w:bookmarkEnd w:id="67"/>
      <w:bookmarkEnd w:id="68"/>
    </w:p>
    <w:p w14:paraId="4F2FC0E3">
      <w:pPr>
        <w:pStyle w:val="4"/>
        <w:rPr>
          <w:rFonts w:ascii="仿宋" w:hAnsi="仿宋" w:eastAsia="仿宋"/>
        </w:rPr>
      </w:pPr>
      <w:bookmarkStart w:id="69" w:name="_Toc15396621"/>
      <w:bookmarkStart w:id="70" w:name="_Toc5842"/>
      <w:r>
        <w:rPr>
          <w:rStyle w:val="21"/>
          <w:rFonts w:hint="eastAsia" w:ascii="仿宋" w:hAnsi="仿宋" w:eastAsia="仿宋"/>
          <w:b w:val="0"/>
          <w:bCs w:val="0"/>
        </w:rPr>
        <w:t>三、</w:t>
      </w:r>
      <w:r>
        <w:rPr>
          <w:rFonts w:hint="eastAsia" w:ascii="仿宋" w:hAnsi="仿宋" w:eastAsia="仿宋"/>
          <w:b w:val="0"/>
        </w:rPr>
        <w:t>支</w:t>
      </w:r>
      <w:r>
        <w:rPr>
          <w:rStyle w:val="21"/>
          <w:rFonts w:hint="eastAsia" w:ascii="仿宋" w:hAnsi="仿宋" w:eastAsia="仿宋"/>
          <w:b w:val="0"/>
          <w:bCs w:val="0"/>
        </w:rPr>
        <w:t>出决算表</w:t>
      </w:r>
      <w:bookmarkEnd w:id="69"/>
      <w:bookmarkEnd w:id="70"/>
    </w:p>
    <w:p w14:paraId="3DACB113">
      <w:pPr>
        <w:pStyle w:val="4"/>
        <w:rPr>
          <w:rFonts w:ascii="仿宋" w:hAnsi="仿宋" w:eastAsia="仿宋"/>
          <w:b w:val="0"/>
        </w:rPr>
      </w:pPr>
      <w:bookmarkStart w:id="71" w:name="_Toc3877"/>
      <w:bookmarkStart w:id="72" w:name="_Toc15396622"/>
      <w:r>
        <w:rPr>
          <w:rStyle w:val="21"/>
          <w:rFonts w:hint="eastAsia" w:ascii="仿宋" w:hAnsi="仿宋" w:eastAsia="仿宋"/>
          <w:b w:val="0"/>
          <w:bCs w:val="0"/>
        </w:rPr>
        <w:t>四、</w:t>
      </w:r>
      <w:r>
        <w:rPr>
          <w:rFonts w:hint="eastAsia" w:ascii="仿宋" w:hAnsi="仿宋" w:eastAsia="仿宋"/>
          <w:b w:val="0"/>
        </w:rPr>
        <w:t>财</w:t>
      </w:r>
      <w:r>
        <w:rPr>
          <w:rStyle w:val="21"/>
          <w:rFonts w:hint="eastAsia" w:ascii="仿宋" w:hAnsi="仿宋" w:eastAsia="仿宋"/>
          <w:b w:val="0"/>
          <w:bCs w:val="0"/>
        </w:rPr>
        <w:t>政拨款收入支出决算总表</w:t>
      </w:r>
      <w:bookmarkEnd w:id="71"/>
      <w:bookmarkEnd w:id="72"/>
    </w:p>
    <w:p w14:paraId="10137CA7">
      <w:pPr>
        <w:pStyle w:val="4"/>
        <w:rPr>
          <w:rStyle w:val="21"/>
          <w:rFonts w:ascii="仿宋" w:hAnsi="仿宋" w:eastAsia="仿宋"/>
          <w:b w:val="0"/>
          <w:bCs w:val="0"/>
        </w:rPr>
      </w:pPr>
      <w:bookmarkStart w:id="73" w:name="_Toc15396623"/>
      <w:bookmarkStart w:id="74" w:name="_Toc750"/>
      <w:r>
        <w:rPr>
          <w:rStyle w:val="21"/>
          <w:rFonts w:hint="eastAsia" w:ascii="仿宋" w:hAnsi="仿宋" w:eastAsia="仿宋"/>
          <w:b w:val="0"/>
          <w:bCs w:val="0"/>
        </w:rPr>
        <w:t>五、</w:t>
      </w:r>
      <w:r>
        <w:rPr>
          <w:rFonts w:hint="eastAsia" w:ascii="仿宋" w:hAnsi="仿宋" w:eastAsia="仿宋"/>
          <w:b w:val="0"/>
        </w:rPr>
        <w:t>财</w:t>
      </w:r>
      <w:r>
        <w:rPr>
          <w:rStyle w:val="21"/>
          <w:rFonts w:hint="eastAsia" w:ascii="仿宋" w:hAnsi="仿宋" w:eastAsia="仿宋"/>
          <w:b w:val="0"/>
          <w:bCs w:val="0"/>
        </w:rPr>
        <w:t>政拨款支出决算明细表</w:t>
      </w:r>
      <w:bookmarkEnd w:id="73"/>
      <w:bookmarkEnd w:id="74"/>
      <w:bookmarkStart w:id="75" w:name="_Toc15396624"/>
    </w:p>
    <w:p w14:paraId="25AC5F17">
      <w:pPr>
        <w:pStyle w:val="4"/>
        <w:rPr>
          <w:rFonts w:ascii="仿宋" w:hAnsi="仿宋" w:eastAsia="仿宋"/>
        </w:rPr>
      </w:pPr>
      <w:bookmarkStart w:id="76" w:name="_Toc19194"/>
      <w:r>
        <w:rPr>
          <w:rStyle w:val="21"/>
          <w:rFonts w:hint="eastAsia" w:ascii="仿宋" w:hAnsi="仿宋" w:eastAsia="仿宋"/>
          <w:b w:val="0"/>
          <w:bCs w:val="0"/>
        </w:rPr>
        <w:t>六、</w:t>
      </w:r>
      <w:r>
        <w:rPr>
          <w:rFonts w:hint="eastAsia" w:ascii="仿宋" w:hAnsi="仿宋" w:eastAsia="仿宋"/>
          <w:b w:val="0"/>
        </w:rPr>
        <w:t>一</w:t>
      </w:r>
      <w:r>
        <w:rPr>
          <w:rStyle w:val="21"/>
          <w:rFonts w:hint="eastAsia" w:ascii="仿宋" w:hAnsi="仿宋" w:eastAsia="仿宋"/>
          <w:b w:val="0"/>
          <w:bCs w:val="0"/>
        </w:rPr>
        <w:t>般公共预算财政拨款支出决算表</w:t>
      </w:r>
      <w:bookmarkEnd w:id="75"/>
      <w:bookmarkEnd w:id="76"/>
    </w:p>
    <w:p w14:paraId="388826BC">
      <w:pPr>
        <w:pStyle w:val="4"/>
        <w:rPr>
          <w:rFonts w:ascii="仿宋" w:hAnsi="仿宋" w:eastAsia="仿宋"/>
        </w:rPr>
      </w:pPr>
      <w:bookmarkStart w:id="77" w:name="_Toc15396625"/>
      <w:bookmarkStart w:id="78" w:name="_Toc7054"/>
      <w:r>
        <w:rPr>
          <w:rStyle w:val="21"/>
          <w:rFonts w:hint="eastAsia" w:ascii="仿宋" w:hAnsi="仿宋" w:eastAsia="仿宋"/>
          <w:b w:val="0"/>
          <w:bCs w:val="0"/>
        </w:rPr>
        <w:t>七、</w:t>
      </w:r>
      <w:r>
        <w:rPr>
          <w:rFonts w:hint="eastAsia" w:ascii="仿宋" w:hAnsi="仿宋" w:eastAsia="仿宋"/>
          <w:b w:val="0"/>
        </w:rPr>
        <w:t>一</w:t>
      </w:r>
      <w:r>
        <w:rPr>
          <w:rStyle w:val="21"/>
          <w:rFonts w:hint="eastAsia" w:ascii="仿宋" w:hAnsi="仿宋" w:eastAsia="仿宋"/>
          <w:b w:val="0"/>
          <w:bCs w:val="0"/>
        </w:rPr>
        <w:t>般公共预算财政拨款支出决算明细表</w:t>
      </w:r>
      <w:bookmarkEnd w:id="77"/>
      <w:bookmarkEnd w:id="78"/>
    </w:p>
    <w:p w14:paraId="102DA859">
      <w:pPr>
        <w:pStyle w:val="4"/>
        <w:rPr>
          <w:rFonts w:ascii="仿宋" w:hAnsi="仿宋" w:eastAsia="仿宋"/>
        </w:rPr>
      </w:pPr>
      <w:bookmarkStart w:id="79" w:name="_Toc15396626"/>
      <w:bookmarkStart w:id="80" w:name="_Toc14041"/>
      <w:r>
        <w:rPr>
          <w:rStyle w:val="21"/>
          <w:rFonts w:hint="eastAsia" w:ascii="仿宋" w:hAnsi="仿宋" w:eastAsia="仿宋"/>
          <w:b w:val="0"/>
          <w:bCs w:val="0"/>
        </w:rPr>
        <w:t>八、</w:t>
      </w:r>
      <w:r>
        <w:rPr>
          <w:rFonts w:hint="eastAsia" w:ascii="仿宋" w:hAnsi="仿宋" w:eastAsia="仿宋"/>
          <w:b w:val="0"/>
        </w:rPr>
        <w:t>一</w:t>
      </w:r>
      <w:r>
        <w:rPr>
          <w:rStyle w:val="21"/>
          <w:rFonts w:hint="eastAsia" w:ascii="仿宋" w:hAnsi="仿宋" w:eastAsia="仿宋"/>
          <w:b w:val="0"/>
          <w:bCs w:val="0"/>
        </w:rPr>
        <w:t>般公共预算财政拨款基本支出决算表</w:t>
      </w:r>
      <w:bookmarkEnd w:id="79"/>
      <w:bookmarkEnd w:id="80"/>
    </w:p>
    <w:p w14:paraId="0B870E59">
      <w:pPr>
        <w:pStyle w:val="4"/>
        <w:rPr>
          <w:rFonts w:ascii="仿宋" w:hAnsi="仿宋" w:eastAsia="仿宋"/>
        </w:rPr>
      </w:pPr>
      <w:bookmarkStart w:id="81" w:name="_Toc26706"/>
      <w:bookmarkStart w:id="82" w:name="_Toc15396627"/>
      <w:r>
        <w:rPr>
          <w:rStyle w:val="21"/>
          <w:rFonts w:hint="eastAsia" w:ascii="仿宋" w:hAnsi="仿宋" w:eastAsia="仿宋"/>
          <w:b w:val="0"/>
          <w:bCs w:val="0"/>
        </w:rPr>
        <w:t>九、</w:t>
      </w:r>
      <w:r>
        <w:rPr>
          <w:rFonts w:hint="eastAsia" w:ascii="仿宋" w:hAnsi="仿宋" w:eastAsia="仿宋"/>
          <w:b w:val="0"/>
        </w:rPr>
        <w:t>一</w:t>
      </w:r>
      <w:r>
        <w:rPr>
          <w:rStyle w:val="21"/>
          <w:rFonts w:hint="eastAsia" w:ascii="仿宋" w:hAnsi="仿宋" w:eastAsia="仿宋"/>
          <w:b w:val="0"/>
          <w:bCs w:val="0"/>
        </w:rPr>
        <w:t>般公共预算财政拨款项目支出决算表</w:t>
      </w:r>
      <w:bookmarkEnd w:id="81"/>
      <w:bookmarkEnd w:id="82"/>
    </w:p>
    <w:p w14:paraId="4271ED20">
      <w:pPr>
        <w:pStyle w:val="4"/>
        <w:rPr>
          <w:rFonts w:ascii="仿宋" w:hAnsi="仿宋" w:eastAsia="仿宋"/>
        </w:rPr>
      </w:pPr>
      <w:bookmarkStart w:id="83" w:name="_Toc15396628"/>
      <w:bookmarkStart w:id="84" w:name="_Toc2700"/>
      <w:r>
        <w:rPr>
          <w:rStyle w:val="21"/>
          <w:rFonts w:hint="eastAsia" w:ascii="仿宋" w:hAnsi="仿宋" w:eastAsia="仿宋"/>
          <w:b w:val="0"/>
          <w:bCs w:val="0"/>
        </w:rPr>
        <w:t>十、</w:t>
      </w:r>
      <w:bookmarkEnd w:id="83"/>
      <w:r>
        <w:rPr>
          <w:rFonts w:hint="eastAsia" w:ascii="仿宋" w:hAnsi="仿宋" w:eastAsia="仿宋"/>
          <w:b w:val="0"/>
        </w:rPr>
        <w:t>政</w:t>
      </w:r>
      <w:r>
        <w:rPr>
          <w:rStyle w:val="21"/>
          <w:rFonts w:hint="eastAsia" w:ascii="仿宋" w:hAnsi="仿宋" w:eastAsia="仿宋"/>
          <w:b w:val="0"/>
          <w:bCs w:val="0"/>
        </w:rPr>
        <w:t>府性基金预算财政拨款收入支出决算表</w:t>
      </w:r>
      <w:bookmarkEnd w:id="84"/>
    </w:p>
    <w:p w14:paraId="6AF51990">
      <w:pPr>
        <w:pStyle w:val="4"/>
        <w:rPr>
          <w:rFonts w:ascii="仿宋" w:hAnsi="仿宋" w:eastAsia="仿宋"/>
        </w:rPr>
      </w:pPr>
      <w:bookmarkStart w:id="85" w:name="_Toc15396629"/>
      <w:bookmarkStart w:id="86" w:name="_Toc32218"/>
      <w:r>
        <w:rPr>
          <w:rStyle w:val="21"/>
          <w:rFonts w:hint="eastAsia" w:ascii="仿宋" w:hAnsi="仿宋" w:eastAsia="仿宋"/>
          <w:b w:val="0"/>
          <w:bCs w:val="0"/>
        </w:rPr>
        <w:t>十一、</w:t>
      </w:r>
      <w:bookmarkEnd w:id="85"/>
      <w:r>
        <w:rPr>
          <w:rFonts w:hint="eastAsia" w:ascii="仿宋" w:hAnsi="仿宋" w:eastAsia="仿宋"/>
          <w:b w:val="0"/>
        </w:rPr>
        <w:t>国</w:t>
      </w:r>
      <w:r>
        <w:rPr>
          <w:rStyle w:val="21"/>
          <w:rFonts w:hint="eastAsia" w:ascii="仿宋" w:hAnsi="仿宋" w:eastAsia="仿宋"/>
          <w:b w:val="0"/>
          <w:bCs w:val="0"/>
        </w:rPr>
        <w:t>有资本经营预算财政拨款收入支出决算表</w:t>
      </w:r>
      <w:bookmarkEnd w:id="86"/>
    </w:p>
    <w:p w14:paraId="06882D42">
      <w:pPr>
        <w:pStyle w:val="4"/>
        <w:rPr>
          <w:rFonts w:ascii="仿宋" w:hAnsi="仿宋" w:eastAsia="仿宋"/>
        </w:rPr>
      </w:pPr>
      <w:bookmarkStart w:id="87" w:name="_Toc15396630"/>
      <w:bookmarkStart w:id="88" w:name="_Toc23596"/>
      <w:r>
        <w:rPr>
          <w:rStyle w:val="21"/>
          <w:rFonts w:hint="eastAsia" w:ascii="仿宋" w:hAnsi="仿宋" w:eastAsia="仿宋"/>
          <w:b w:val="0"/>
          <w:bCs w:val="0"/>
        </w:rPr>
        <w:t>十二、</w:t>
      </w:r>
      <w:bookmarkEnd w:id="87"/>
      <w:r>
        <w:rPr>
          <w:rStyle w:val="21"/>
          <w:rFonts w:hint="eastAsia" w:ascii="仿宋" w:hAnsi="仿宋" w:eastAsia="仿宋"/>
          <w:b w:val="0"/>
          <w:bCs w:val="0"/>
        </w:rPr>
        <w:t>国有资本经营预算财政拨款支出决算表</w:t>
      </w:r>
      <w:bookmarkEnd w:id="88"/>
    </w:p>
    <w:p w14:paraId="7F41E96C">
      <w:pPr>
        <w:pStyle w:val="4"/>
        <w:rPr>
          <w:rFonts w:ascii="仿宋" w:hAnsi="仿宋" w:eastAsia="仿宋"/>
          <w:b w:val="0"/>
          <w:color w:val="000000"/>
        </w:rPr>
      </w:pPr>
      <w:bookmarkStart w:id="89" w:name="_Toc15396631"/>
      <w:bookmarkStart w:id="90" w:name="_Toc1521"/>
      <w:r>
        <w:rPr>
          <w:rStyle w:val="21"/>
          <w:rFonts w:hint="eastAsia" w:ascii="仿宋" w:hAnsi="仿宋" w:eastAsia="仿宋"/>
          <w:b w:val="0"/>
          <w:bCs w:val="0"/>
        </w:rPr>
        <w:t>十三、</w:t>
      </w:r>
      <w:bookmarkEnd w:id="89"/>
      <w:r>
        <w:rPr>
          <w:rStyle w:val="21"/>
          <w:rFonts w:hint="eastAsia" w:ascii="仿宋" w:hAnsi="仿宋" w:eastAsia="仿宋"/>
          <w:b w:val="0"/>
          <w:bCs w:val="0"/>
        </w:rPr>
        <w:t>财政拨款“三公”经费支出决算表</w:t>
      </w:r>
      <w:bookmarkEnd w:id="90"/>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A86B6">
    <w:pPr>
      <w:pStyle w:val="8"/>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F0D260">
                          <w:pPr>
                            <w:pStyle w:val="8"/>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kS90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l5RoplCw08/vp9+&#10;Ppx+fSNvojyt9TNE3VvEhe6d6TA0w73HZWTdVU7FX/Ah8EPc40Vc0QXC46PpZDrN4eLwDQfgZ4/P&#10;rfPhvTCKRKOgDt1LorLDxoc+dAiJ2bRZN1KmDkpNWlB4/TZPDy4egEsdY0WahTNMpNSXHq3Qbbsz&#10;z60pj6DpTD8n3vJ1g1I2zIc75jAYKB+rE27xqaRBSnO2KKmN+/qv+xiPfsFLSYtBK6jGXlEiP2j0&#10;EYBhMNxgbAdD79WNweSOsZKWJxMPXJCDWTmjvmCfljEHXExzZCpoGMyb0A879pGL5TIF7a1rdnX/&#10;AFNoWdjoe8tjmiiVt8t9gLRJ8ShQrwo6FQ+Yw9Sz887EQf/znKIe/yc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iSRL3TgCAABvBAAADgAAAAAAAAABACAAAAAfAQAAZHJzL2Uyb0RvYy54&#10;bWxQSwUGAAAAAAYABgBZAQAAyQUAAAAA&#10;">
              <v:fill on="f" focussize="0,0"/>
              <v:stroke on="f" weight="0.5pt"/>
              <v:imagedata o:title=""/>
              <o:lock v:ext="edit" aspectratio="f"/>
              <v:textbox inset="0mm,0mm,0mm,0mm" style="mso-fit-shape-to-text:t;">
                <w:txbxContent>
                  <w:p w14:paraId="3BF0D260">
                    <w:pPr>
                      <w:pStyle w:val="8"/>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4078C"/>
    <w:rsid w:val="00027C8B"/>
    <w:rsid w:val="0017346D"/>
    <w:rsid w:val="00174426"/>
    <w:rsid w:val="001A0F70"/>
    <w:rsid w:val="001A1B4A"/>
    <w:rsid w:val="001B402B"/>
    <w:rsid w:val="001F521C"/>
    <w:rsid w:val="00230B32"/>
    <w:rsid w:val="002C006F"/>
    <w:rsid w:val="002C5570"/>
    <w:rsid w:val="002F38E6"/>
    <w:rsid w:val="00315B16"/>
    <w:rsid w:val="004057BB"/>
    <w:rsid w:val="00411ABE"/>
    <w:rsid w:val="004C450A"/>
    <w:rsid w:val="005000FC"/>
    <w:rsid w:val="00554E21"/>
    <w:rsid w:val="00555FA8"/>
    <w:rsid w:val="00584A42"/>
    <w:rsid w:val="005B2F5F"/>
    <w:rsid w:val="005D5B2A"/>
    <w:rsid w:val="005E5753"/>
    <w:rsid w:val="005F1C15"/>
    <w:rsid w:val="00650F57"/>
    <w:rsid w:val="006A2B15"/>
    <w:rsid w:val="006F2AE2"/>
    <w:rsid w:val="00721612"/>
    <w:rsid w:val="007365E8"/>
    <w:rsid w:val="00745F82"/>
    <w:rsid w:val="00765F6E"/>
    <w:rsid w:val="007E376F"/>
    <w:rsid w:val="007E40CD"/>
    <w:rsid w:val="00825FA4"/>
    <w:rsid w:val="008352D6"/>
    <w:rsid w:val="008468CD"/>
    <w:rsid w:val="00894570"/>
    <w:rsid w:val="008C6575"/>
    <w:rsid w:val="00970E49"/>
    <w:rsid w:val="009F224C"/>
    <w:rsid w:val="009F3F24"/>
    <w:rsid w:val="00A06F84"/>
    <w:rsid w:val="00A1762F"/>
    <w:rsid w:val="00AB2218"/>
    <w:rsid w:val="00B215B6"/>
    <w:rsid w:val="00B35E56"/>
    <w:rsid w:val="00BB62F7"/>
    <w:rsid w:val="00C23228"/>
    <w:rsid w:val="00C9441D"/>
    <w:rsid w:val="00CB1229"/>
    <w:rsid w:val="00CB2073"/>
    <w:rsid w:val="00CC16C5"/>
    <w:rsid w:val="00D232D5"/>
    <w:rsid w:val="00D26CC7"/>
    <w:rsid w:val="00D4293F"/>
    <w:rsid w:val="00D6399D"/>
    <w:rsid w:val="00D670C9"/>
    <w:rsid w:val="00D71468"/>
    <w:rsid w:val="00D74C83"/>
    <w:rsid w:val="00DE1FD7"/>
    <w:rsid w:val="00E46E3F"/>
    <w:rsid w:val="00E84A54"/>
    <w:rsid w:val="00E93FB6"/>
    <w:rsid w:val="00FC7FF7"/>
    <w:rsid w:val="00FD3821"/>
    <w:rsid w:val="06D96529"/>
    <w:rsid w:val="0A3F2C74"/>
    <w:rsid w:val="0AB9552D"/>
    <w:rsid w:val="0B2C649E"/>
    <w:rsid w:val="0C71695B"/>
    <w:rsid w:val="1AB102B0"/>
    <w:rsid w:val="3E4169FF"/>
    <w:rsid w:val="3F9A05DB"/>
    <w:rsid w:val="44E516B2"/>
    <w:rsid w:val="47BD0CAB"/>
    <w:rsid w:val="56774470"/>
    <w:rsid w:val="5794150E"/>
    <w:rsid w:val="5B394EC5"/>
    <w:rsid w:val="5D3E75DF"/>
    <w:rsid w:val="6504078C"/>
    <w:rsid w:val="6B769DA4"/>
    <w:rsid w:val="6C29058E"/>
    <w:rsid w:val="726E3979"/>
    <w:rsid w:val="747D4DEF"/>
    <w:rsid w:val="788E4A9C"/>
    <w:rsid w:val="79B788E9"/>
    <w:rsid w:val="7FEB6C16"/>
    <w:rsid w:val="B7DF065C"/>
    <w:rsid w:val="FEF74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unhideWhenUsed/>
    <w:qFormat/>
    <w:uiPriority w:val="9"/>
    <w:pPr>
      <w:keepNext/>
      <w:keepLines/>
      <w:spacing w:before="260" w:after="260" w:line="416" w:lineRule="auto"/>
      <w:outlineLvl w:val="1"/>
    </w:pPr>
    <w:rPr>
      <w:rFonts w:ascii="Cambria" w:hAnsi="Cambria"/>
      <w:b/>
      <w:bCs/>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kern w:val="0"/>
      <w:sz w:val="24"/>
      <w:szCs w:val="20"/>
    </w:rPr>
  </w:style>
  <w:style w:type="paragraph" w:styleId="5">
    <w:name w:val="index 5"/>
    <w:basedOn w:val="1"/>
    <w:next w:val="1"/>
    <w:qFormat/>
    <w:uiPriority w:val="0"/>
    <w:pPr>
      <w:ind w:left="1680"/>
    </w:pPr>
  </w:style>
  <w:style w:type="paragraph" w:styleId="6">
    <w:name w:val="Body Text Indent"/>
    <w:basedOn w:val="1"/>
    <w:qFormat/>
    <w:uiPriority w:val="0"/>
    <w:pPr>
      <w:spacing w:line="560" w:lineRule="exact"/>
      <w:ind w:firstLine="640" w:firstLineChars="200"/>
    </w:pPr>
  </w:style>
  <w:style w:type="paragraph" w:styleId="7">
    <w:name w:val="Balloon Text"/>
    <w:basedOn w:val="1"/>
    <w:link w:val="22"/>
    <w:uiPriority w:val="0"/>
    <w:rPr>
      <w:sz w:val="18"/>
      <w:szCs w:val="18"/>
    </w:rPr>
  </w:style>
  <w:style w:type="paragraph" w:styleId="8">
    <w:name w:val="footer"/>
    <w:basedOn w:val="1"/>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unhideWhenUsed/>
    <w:qFormat/>
    <w:uiPriority w:val="39"/>
    <w:pPr>
      <w:spacing w:before="120"/>
      <w:jc w:val="left"/>
    </w:pPr>
    <w:rPr>
      <w:rFonts w:ascii="等线" w:eastAsia="等线"/>
      <w:b/>
      <w:bCs/>
      <w:i/>
      <w:iCs/>
      <w:sz w:val="24"/>
    </w:rPr>
  </w:style>
  <w:style w:type="paragraph" w:styleId="11">
    <w:name w:val="toc 2"/>
    <w:basedOn w:val="1"/>
    <w:next w:val="1"/>
    <w:unhideWhenUsed/>
    <w:qFormat/>
    <w:uiPriority w:val="39"/>
    <w:pPr>
      <w:spacing w:before="120"/>
      <w:ind w:left="300"/>
      <w:jc w:val="left"/>
    </w:pPr>
    <w:rPr>
      <w:rFonts w:ascii="等线" w:eastAsia="等线"/>
      <w:b/>
      <w:bCs/>
      <w:sz w:val="22"/>
      <w:szCs w:val="22"/>
    </w:rPr>
  </w:style>
  <w:style w:type="paragraph" w:styleId="12">
    <w:name w:val="Body Text First Indent 2"/>
    <w:basedOn w:val="6"/>
    <w:next w:val="5"/>
    <w:qFormat/>
    <w:uiPriority w:val="0"/>
    <w:pPr>
      <w:spacing w:after="120" w:line="240" w:lineRule="auto"/>
      <w:ind w:left="420" w:leftChars="200" w:firstLine="420"/>
    </w:pPr>
  </w:style>
  <w:style w:type="character" w:styleId="15">
    <w:name w:val="Strong"/>
    <w:basedOn w:val="14"/>
    <w:qFormat/>
    <w:uiPriority w:val="99"/>
    <w:rPr>
      <w:rFonts w:cs="Times New Roman"/>
      <w:b/>
    </w:rPr>
  </w:style>
  <w:style w:type="character" w:styleId="16">
    <w:name w:val="Hyperlink"/>
    <w:unhideWhenUsed/>
    <w:qFormat/>
    <w:uiPriority w:val="99"/>
    <w:rPr>
      <w:color w:val="0000FF"/>
      <w:u w:val="single"/>
    </w:rPr>
  </w:style>
  <w:style w:type="character" w:customStyle="1" w:styleId="17">
    <w:name w:val="标题 1 Char"/>
    <w:basedOn w:val="14"/>
    <w:link w:val="3"/>
    <w:qFormat/>
    <w:locked/>
    <w:uiPriority w:val="9"/>
    <w:rPr>
      <w:b/>
      <w:bCs/>
      <w:kern w:val="44"/>
      <w:sz w:val="44"/>
      <w:szCs w:val="44"/>
    </w:rPr>
  </w:style>
  <w:style w:type="character" w:customStyle="1" w:styleId="18">
    <w:name w:val="Char Char5"/>
    <w:basedOn w:val="14"/>
    <w:link w:val="4"/>
    <w:qFormat/>
    <w:locked/>
    <w:uiPriority w:val="9"/>
    <w:rPr>
      <w:rFonts w:ascii="Cambria" w:hAnsi="Cambria"/>
      <w:b/>
      <w:bCs/>
      <w:sz w:val="32"/>
      <w:szCs w:val="32"/>
    </w:rPr>
  </w:style>
  <w:style w:type="paragraph" w:customStyle="1" w:styleId="19">
    <w:name w:val="列出段落1"/>
    <w:basedOn w:val="1"/>
    <w:qFormat/>
    <w:uiPriority w:val="34"/>
    <w:pPr>
      <w:ind w:firstLine="420" w:firstLineChars="200"/>
    </w:p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标题 2 Char"/>
    <w:basedOn w:val="14"/>
    <w:link w:val="4"/>
    <w:qFormat/>
    <w:uiPriority w:val="9"/>
    <w:rPr>
      <w:rFonts w:asciiTheme="majorHAnsi" w:hAnsiTheme="majorHAnsi" w:eastAsiaTheme="majorEastAsia" w:cstheme="majorBidi"/>
      <w:b/>
      <w:bCs/>
      <w:kern w:val="2"/>
      <w:sz w:val="32"/>
      <w:szCs w:val="32"/>
    </w:rPr>
  </w:style>
  <w:style w:type="character" w:customStyle="1" w:styleId="22">
    <w:name w:val="批注框文本 Char"/>
    <w:basedOn w:val="14"/>
    <w:link w:val="7"/>
    <w:qFormat/>
    <w:uiPriority w:val="0"/>
    <w:rPr>
      <w:rFonts w:ascii="Times New Roman" w:hAnsi="Times New Roman" w:eastAsia="仿宋_GB2312" w:cs="Times New Roman"/>
      <w:kern w:val="2"/>
      <w:sz w:val="18"/>
      <w:szCs w:val="18"/>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7.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收支总计（万元）</c:v>
                </c:pt>
              </c:strCache>
            </c:strRef>
          </c:tx>
          <c:invertIfNegative val="0"/>
          <c:dLbls>
            <c:delete val="1"/>
          </c:dLbls>
          <c:cat>
            <c:numRef>
              <c:f>Sheet1!$A$2:$A$3</c:f>
              <c:numCache>
                <c:formatCode>General</c:formatCode>
                <c:ptCount val="2"/>
                <c:pt idx="0">
                  <c:v>2022</c:v>
                </c:pt>
                <c:pt idx="1">
                  <c:v>2023</c:v>
                </c:pt>
              </c:numCache>
            </c:numRef>
          </c:cat>
          <c:val>
            <c:numRef>
              <c:f>Sheet1!$B$2:$B$3</c:f>
              <c:numCache>
                <c:formatCode>General</c:formatCode>
                <c:ptCount val="2"/>
                <c:pt idx="0">
                  <c:v>5943.87</c:v>
                </c:pt>
                <c:pt idx="1">
                  <c:v>7429.65</c:v>
                </c:pt>
              </c:numCache>
            </c:numRef>
          </c:val>
        </c:ser>
        <c:dLbls>
          <c:showLegendKey val="0"/>
          <c:showVal val="0"/>
          <c:showCatName val="0"/>
          <c:showSerName val="0"/>
          <c:showPercent val="0"/>
          <c:showBubbleSize val="0"/>
        </c:dLbls>
        <c:gapWidth val="150"/>
        <c:axId val="46333952"/>
        <c:axId val="46335488"/>
      </c:barChart>
      <c:catAx>
        <c:axId val="4633395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6335488"/>
        <c:crosses val="autoZero"/>
        <c:auto val="1"/>
        <c:lblAlgn val="ctr"/>
        <c:lblOffset val="100"/>
        <c:noMultiLvlLbl val="0"/>
      </c:catAx>
      <c:valAx>
        <c:axId val="463354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633395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2023年收入</c:v>
                </c:pt>
              </c:strCache>
            </c:strRef>
          </c:tx>
          <c:explosion val="0"/>
          <c:dPt>
            <c:idx val="0"/>
            <c:bubble3D val="0"/>
          </c:dPt>
          <c:dPt>
            <c:idx val="1"/>
            <c:bubble3D val="0"/>
          </c:dPt>
          <c:dPt>
            <c:idx val="2"/>
            <c:bubble3D val="0"/>
          </c:dPt>
          <c:dPt>
            <c:idx val="3"/>
            <c:bubble3D val="0"/>
          </c:dPt>
          <c:dLbls>
            <c:delete val="1"/>
          </c:dLbls>
          <c:cat>
            <c:strRef>
              <c:f>Sheet1!$A$2:$A$5</c:f>
              <c:strCache>
                <c:ptCount val="4"/>
                <c:pt idx="0">
                  <c:v>一般公共预算拨款收入</c:v>
                </c:pt>
                <c:pt idx="1">
                  <c:v>政府性基金预算拨款收入</c:v>
                </c:pt>
                <c:pt idx="2">
                  <c:v>事业收入</c:v>
                </c:pt>
                <c:pt idx="3">
                  <c:v>经营收入</c:v>
                </c:pt>
              </c:strCache>
            </c:strRef>
          </c:cat>
          <c:val>
            <c:numRef>
              <c:f>Sheet1!$B$2:$B$5</c:f>
              <c:numCache>
                <c:formatCode>General</c:formatCode>
                <c:ptCount val="4"/>
                <c:pt idx="0">
                  <c:v>5062.98</c:v>
                </c:pt>
                <c:pt idx="1">
                  <c:v>2273.83</c:v>
                </c:pt>
                <c:pt idx="2">
                  <c:v>88.85</c:v>
                </c:pt>
                <c:pt idx="3">
                  <c:v>3.99</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2023年支出</c:v>
                </c:pt>
              </c:strCache>
            </c:strRef>
          </c:tx>
          <c:explosion val="0"/>
          <c:dPt>
            <c:idx val="0"/>
            <c:bubble3D val="0"/>
          </c:dPt>
          <c:dPt>
            <c:idx val="1"/>
            <c:bubble3D val="0"/>
          </c:dPt>
          <c:dPt>
            <c:idx val="2"/>
            <c:bubble3D val="0"/>
          </c:dPt>
          <c:dLbls>
            <c:delete val="1"/>
          </c:dLbls>
          <c:cat>
            <c:strRef>
              <c:f>Sheet1!$A$2:$A$4</c:f>
              <c:strCache>
                <c:ptCount val="3"/>
                <c:pt idx="0">
                  <c:v>基本支出</c:v>
                </c:pt>
                <c:pt idx="1">
                  <c:v>项目支出</c:v>
                </c:pt>
                <c:pt idx="2">
                  <c:v>经营支出</c:v>
                </c:pt>
              </c:strCache>
            </c:strRef>
          </c:cat>
          <c:val>
            <c:numRef>
              <c:f>Sheet1!$B$2:$B$4</c:f>
              <c:numCache>
                <c:formatCode>General</c:formatCode>
                <c:ptCount val="3"/>
                <c:pt idx="0">
                  <c:v>3839.5</c:v>
                </c:pt>
                <c:pt idx="1">
                  <c:v>3586.16</c:v>
                </c:pt>
                <c:pt idx="2">
                  <c:v>3.99</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财政拨款收支总计（万元）</c:v>
                </c:pt>
              </c:strCache>
            </c:strRef>
          </c:tx>
          <c:invertIfNegative val="0"/>
          <c:dLbls>
            <c:delete val="1"/>
          </c:dLbls>
          <c:cat>
            <c:numRef>
              <c:f>Sheet1!$A$2:$A$3</c:f>
              <c:numCache>
                <c:formatCode>General</c:formatCode>
                <c:ptCount val="2"/>
                <c:pt idx="0">
                  <c:v>2022</c:v>
                </c:pt>
                <c:pt idx="1">
                  <c:v>2023</c:v>
                </c:pt>
              </c:numCache>
            </c:numRef>
          </c:cat>
          <c:val>
            <c:numRef>
              <c:f>Sheet1!$B$2:$B$3</c:f>
              <c:numCache>
                <c:formatCode>General</c:formatCode>
                <c:ptCount val="2"/>
                <c:pt idx="0">
                  <c:v>5823.31</c:v>
                </c:pt>
                <c:pt idx="1">
                  <c:v>7336.81</c:v>
                </c:pt>
              </c:numCache>
            </c:numRef>
          </c:val>
        </c:ser>
        <c:dLbls>
          <c:showLegendKey val="0"/>
          <c:showVal val="0"/>
          <c:showCatName val="0"/>
          <c:showSerName val="0"/>
          <c:showPercent val="0"/>
          <c:showBubbleSize val="0"/>
        </c:dLbls>
        <c:gapWidth val="150"/>
        <c:axId val="190261120"/>
        <c:axId val="191153664"/>
      </c:barChart>
      <c:catAx>
        <c:axId val="19026112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1153664"/>
        <c:crosses val="autoZero"/>
        <c:auto val="1"/>
        <c:lblAlgn val="ctr"/>
        <c:lblOffset val="100"/>
        <c:noMultiLvlLbl val="0"/>
      </c:catAx>
      <c:valAx>
        <c:axId val="1911536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26112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一般公共预算财政拨款支出（万元）</c:v>
                </c:pt>
              </c:strCache>
            </c:strRef>
          </c:tx>
          <c:invertIfNegative val="0"/>
          <c:dLbls>
            <c:delete val="1"/>
          </c:dLbls>
          <c:cat>
            <c:numRef>
              <c:f>Sheet1!$A$2:$A$3</c:f>
              <c:numCache>
                <c:formatCode>General</c:formatCode>
                <c:ptCount val="2"/>
                <c:pt idx="0">
                  <c:v>2022</c:v>
                </c:pt>
                <c:pt idx="1">
                  <c:v>2023</c:v>
                </c:pt>
              </c:numCache>
            </c:numRef>
          </c:cat>
          <c:val>
            <c:numRef>
              <c:f>Sheet1!$B$2:$B$3</c:f>
              <c:numCache>
                <c:formatCode>General</c:formatCode>
                <c:ptCount val="2"/>
                <c:pt idx="0">
                  <c:v>5823.31</c:v>
                </c:pt>
                <c:pt idx="1">
                  <c:v>5062.98</c:v>
                </c:pt>
              </c:numCache>
            </c:numRef>
          </c:val>
        </c:ser>
        <c:dLbls>
          <c:showLegendKey val="0"/>
          <c:showVal val="0"/>
          <c:showCatName val="0"/>
          <c:showSerName val="0"/>
          <c:showPercent val="0"/>
          <c:showBubbleSize val="0"/>
        </c:dLbls>
        <c:gapWidth val="150"/>
        <c:axId val="46397312"/>
        <c:axId val="46398848"/>
      </c:barChart>
      <c:catAx>
        <c:axId val="4639731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6398848"/>
        <c:crosses val="autoZero"/>
        <c:auto val="1"/>
        <c:lblAlgn val="ctr"/>
        <c:lblOffset val="100"/>
        <c:noMultiLvlLbl val="0"/>
      </c:catAx>
      <c:valAx>
        <c:axId val="463988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639731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Lbls>
            <c:delete val="1"/>
          </c:dLbls>
          <c:cat>
            <c:strRef>
              <c:f>Sheet1!$A$2:$A$3</c:f>
              <c:strCache>
                <c:ptCount val="2"/>
                <c:pt idx="0">
                  <c:v>教育支出</c:v>
                </c:pt>
                <c:pt idx="1">
                  <c:v>社会保障和就业支出</c:v>
                </c:pt>
              </c:strCache>
            </c:strRef>
          </c:cat>
          <c:val>
            <c:numRef>
              <c:f>Sheet1!$B$2:$B$3</c:f>
              <c:numCache>
                <c:formatCode>General</c:formatCode>
                <c:ptCount val="2"/>
                <c:pt idx="0">
                  <c:v>4265.97</c:v>
                </c:pt>
                <c:pt idx="1">
                  <c:v>797.01</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explosion val="0"/>
          <c:dPt>
            <c:idx val="0"/>
            <c:bubble3D val="0"/>
          </c:dPt>
          <c:dPt>
            <c:idx val="1"/>
            <c:bubble3D val="0"/>
          </c:dPt>
          <c:dLbls>
            <c:delete val="1"/>
          </c:dLbls>
          <c:cat>
            <c:strRef>
              <c:f>Sheet1!$A$2:$A$3</c:f>
              <c:strCache>
                <c:ptCount val="2"/>
                <c:pt idx="0">
                  <c:v>公务用车运行维护费</c:v>
                </c:pt>
                <c:pt idx="1">
                  <c:v>公务接待费</c:v>
                </c:pt>
              </c:strCache>
            </c:strRef>
          </c:cat>
          <c:val>
            <c:numRef>
              <c:f>Sheet1!$B$2:$B$3</c:f>
              <c:numCache>
                <c:formatCode>General</c:formatCode>
                <c:ptCount val="2"/>
                <c:pt idx="0">
                  <c:v>2.44</c:v>
                </c:pt>
                <c:pt idx="1">
                  <c:v>0.08</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7403</Words>
  <Characters>8447</Characters>
  <Lines>77</Lines>
  <Paragraphs>21</Paragraphs>
  <TotalTime>144</TotalTime>
  <ScaleCrop>false</ScaleCrop>
  <LinksUpToDate>false</LinksUpToDate>
  <CharactersWithSpaces>8555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2024-09-18T08:32:00Z</dcterms:created>
  <dc:creator>Administrator</dc:creator>
  <cp:lastModifiedBy>梧桐雨</cp:lastModifiedBy>
  <dcterms:modified xsi:type="dcterms:W3CDTF">2024-10-18T05:18:04Z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A037AE5921784B87A0329FB8EE8E424A_13</vt:lpwstr>
  </property>
</Properties>
</file>